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E37" w:rsidRPr="00F84D03" w:rsidRDefault="00755DE3">
      <w:pPr>
        <w:pStyle w:val="BodyText"/>
        <w:rPr>
          <w:rFonts w:asciiTheme="minorHAnsi" w:hAnsiTheme="minorHAnsi"/>
          <w:szCs w:val="24"/>
        </w:rPr>
      </w:pPr>
      <w:r>
        <w:rPr>
          <w:rFonts w:asciiTheme="minorHAnsi" w:hAnsiTheme="minorHAnsi"/>
          <w:szCs w:val="24"/>
        </w:rPr>
        <w:t>Canada Research Continuity Emergency Fund</w:t>
      </w:r>
    </w:p>
    <w:p w:rsidR="00824E37" w:rsidRDefault="00755DE3">
      <w:pPr>
        <w:pStyle w:val="Heading3"/>
        <w:rPr>
          <w:rFonts w:asciiTheme="minorHAnsi" w:hAnsiTheme="minorHAnsi"/>
          <w:szCs w:val="24"/>
        </w:rPr>
      </w:pPr>
      <w:r>
        <w:rPr>
          <w:rFonts w:asciiTheme="minorHAnsi" w:hAnsiTheme="minorHAnsi"/>
          <w:szCs w:val="24"/>
        </w:rPr>
        <w:t xml:space="preserve">Stage Three Funding </w:t>
      </w:r>
      <w:r w:rsidR="00CA6FC3">
        <w:rPr>
          <w:rFonts w:asciiTheme="minorHAnsi" w:hAnsiTheme="minorHAnsi"/>
          <w:szCs w:val="24"/>
        </w:rPr>
        <w:t xml:space="preserve">Internal </w:t>
      </w:r>
      <w:r>
        <w:rPr>
          <w:rFonts w:asciiTheme="minorHAnsi" w:hAnsiTheme="minorHAnsi"/>
          <w:szCs w:val="24"/>
        </w:rPr>
        <w:t xml:space="preserve">Allocation </w:t>
      </w:r>
    </w:p>
    <w:p w:rsidR="006222AB" w:rsidRPr="006222AB" w:rsidRDefault="006222AB" w:rsidP="006222AB"/>
    <w:p w:rsidR="006A3970" w:rsidRPr="00F84D03" w:rsidRDefault="006222AB" w:rsidP="006A3970">
      <w:pPr>
        <w:jc w:val="center"/>
        <w:rPr>
          <w:rFonts w:asciiTheme="minorHAnsi" w:hAnsiTheme="minorHAnsi"/>
          <w:b/>
          <w:caps/>
          <w:szCs w:val="24"/>
        </w:rPr>
      </w:pPr>
      <w:r>
        <w:rPr>
          <w:rFonts w:asciiTheme="minorHAnsi" w:hAnsiTheme="minorHAnsi"/>
          <w:b/>
          <w:szCs w:val="24"/>
        </w:rPr>
        <w:t>Open Call</w:t>
      </w:r>
      <w:r w:rsidR="00881AC8">
        <w:rPr>
          <w:rFonts w:asciiTheme="minorHAnsi" w:hAnsiTheme="minorHAnsi"/>
          <w:b/>
          <w:szCs w:val="24"/>
        </w:rPr>
        <w:t xml:space="preserve"> for Applications for Stage 3*</w:t>
      </w:r>
    </w:p>
    <w:p w:rsidR="00EA7A26" w:rsidRPr="00F84D03" w:rsidRDefault="00EA7A26">
      <w:pPr>
        <w:pStyle w:val="Heading1"/>
        <w:rPr>
          <w:rFonts w:asciiTheme="minorHAnsi" w:hAnsiTheme="minorHAnsi"/>
          <w:szCs w:val="24"/>
        </w:rPr>
      </w:pPr>
    </w:p>
    <w:p w:rsidR="00824E37" w:rsidRPr="00F84D03" w:rsidRDefault="006222AB">
      <w:pPr>
        <w:pStyle w:val="Heading1"/>
        <w:rPr>
          <w:rFonts w:asciiTheme="minorHAnsi" w:hAnsiTheme="minorHAnsi"/>
          <w:szCs w:val="24"/>
        </w:rPr>
      </w:pPr>
      <w:r>
        <w:rPr>
          <w:rFonts w:asciiTheme="minorHAnsi" w:hAnsiTheme="minorHAnsi"/>
          <w:szCs w:val="24"/>
        </w:rPr>
        <w:t>Background</w:t>
      </w:r>
    </w:p>
    <w:p w:rsidR="008B1A69" w:rsidRDefault="008B1A69" w:rsidP="008572E0">
      <w:pPr>
        <w:rPr>
          <w:rFonts w:asciiTheme="minorHAnsi" w:hAnsiTheme="minorHAnsi"/>
          <w:szCs w:val="24"/>
        </w:rPr>
      </w:pPr>
    </w:p>
    <w:p w:rsidR="00881AC8" w:rsidRDefault="00755DE3" w:rsidP="008572E0">
      <w:pPr>
        <w:rPr>
          <w:rFonts w:asciiTheme="minorHAnsi" w:hAnsiTheme="minorHAnsi"/>
          <w:szCs w:val="24"/>
        </w:rPr>
      </w:pPr>
      <w:r>
        <w:rPr>
          <w:rFonts w:asciiTheme="minorHAnsi" w:hAnsiTheme="minorHAnsi"/>
          <w:szCs w:val="24"/>
        </w:rPr>
        <w:t>The Government of Canada’s COVID-19 Economic Response Plan includes the Canada Research Continuity Emergency Fund (CRCEF) program</w:t>
      </w:r>
      <w:r w:rsidR="008572E0">
        <w:rPr>
          <w:rFonts w:asciiTheme="minorHAnsi" w:hAnsiTheme="minorHAnsi"/>
          <w:szCs w:val="24"/>
        </w:rPr>
        <w:t>.</w:t>
      </w:r>
      <w:r>
        <w:rPr>
          <w:rFonts w:asciiTheme="minorHAnsi" w:hAnsiTheme="minorHAnsi"/>
          <w:szCs w:val="24"/>
        </w:rPr>
        <w:t xml:space="preserve"> </w:t>
      </w:r>
    </w:p>
    <w:p w:rsidR="00881AC8" w:rsidRDefault="00881AC8" w:rsidP="008572E0">
      <w:pPr>
        <w:rPr>
          <w:rFonts w:asciiTheme="minorHAnsi" w:hAnsiTheme="minorHAnsi"/>
          <w:szCs w:val="24"/>
        </w:rPr>
      </w:pPr>
      <w:r>
        <w:rPr>
          <w:rFonts w:asciiTheme="minorHAnsi" w:hAnsiTheme="minorHAnsi"/>
          <w:szCs w:val="24"/>
        </w:rPr>
        <w:t>(</w:t>
      </w:r>
      <w:hyperlink r:id="rId8" w:history="1">
        <w:r w:rsidRPr="008D556B">
          <w:rPr>
            <w:rStyle w:val="Hyperlink"/>
            <w:rFonts w:asciiTheme="minorHAnsi" w:hAnsiTheme="minorHAnsi"/>
            <w:szCs w:val="24"/>
          </w:rPr>
          <w:t>https://www.sshrc-crsh.gc.ca/funding-financement/crcef-fucrc/index-eng.aspx</w:t>
        </w:r>
      </w:hyperlink>
      <w:r>
        <w:rPr>
          <w:rFonts w:asciiTheme="minorHAnsi" w:hAnsiTheme="minorHAnsi"/>
          <w:szCs w:val="24"/>
        </w:rPr>
        <w:t>)</w:t>
      </w:r>
    </w:p>
    <w:p w:rsidR="00881AC8" w:rsidRDefault="00881AC8" w:rsidP="008572E0">
      <w:pPr>
        <w:rPr>
          <w:rFonts w:asciiTheme="minorHAnsi" w:hAnsiTheme="minorHAnsi"/>
          <w:szCs w:val="24"/>
        </w:rPr>
      </w:pPr>
    </w:p>
    <w:p w:rsidR="008572E0" w:rsidRDefault="00881AC8" w:rsidP="008572E0">
      <w:pPr>
        <w:rPr>
          <w:rFonts w:asciiTheme="minorHAnsi" w:hAnsiTheme="minorHAnsi"/>
          <w:szCs w:val="24"/>
        </w:rPr>
      </w:pPr>
      <w:r>
        <w:rPr>
          <w:rFonts w:asciiTheme="minorHAnsi" w:hAnsiTheme="minorHAnsi"/>
          <w:szCs w:val="24"/>
        </w:rPr>
        <w:t xml:space="preserve">The program is a Tri-Agency </w:t>
      </w:r>
      <w:r w:rsidR="00755DE3">
        <w:rPr>
          <w:rFonts w:asciiTheme="minorHAnsi" w:hAnsiTheme="minorHAnsi"/>
          <w:szCs w:val="24"/>
        </w:rPr>
        <w:t>program</w:t>
      </w:r>
      <w:r>
        <w:rPr>
          <w:rFonts w:asciiTheme="minorHAnsi" w:hAnsiTheme="minorHAnsi"/>
          <w:szCs w:val="24"/>
        </w:rPr>
        <w:t xml:space="preserve"> and h</w:t>
      </w:r>
      <w:r w:rsidR="00755DE3">
        <w:rPr>
          <w:rFonts w:asciiTheme="minorHAnsi" w:hAnsiTheme="minorHAnsi"/>
          <w:szCs w:val="24"/>
        </w:rPr>
        <w:t xml:space="preserve">as been established to help sustain the research enterprise at Canadian universities and health research institutions </w:t>
      </w:r>
      <w:r>
        <w:rPr>
          <w:rFonts w:asciiTheme="minorHAnsi" w:hAnsiTheme="minorHAnsi"/>
          <w:szCs w:val="24"/>
        </w:rPr>
        <w:t>a</w:t>
      </w:r>
      <w:r w:rsidR="00755DE3">
        <w:rPr>
          <w:rFonts w:asciiTheme="minorHAnsi" w:hAnsiTheme="minorHAnsi"/>
          <w:szCs w:val="24"/>
        </w:rPr>
        <w:t xml:space="preserve">ffected by the COVID-19 pandemic.  The program is intended to help reduce negative impacts of the pandemic and </w:t>
      </w:r>
      <w:r>
        <w:rPr>
          <w:rFonts w:asciiTheme="minorHAnsi" w:hAnsiTheme="minorHAnsi"/>
          <w:szCs w:val="24"/>
        </w:rPr>
        <w:t xml:space="preserve">to </w:t>
      </w:r>
      <w:r w:rsidR="00755DE3">
        <w:rPr>
          <w:rFonts w:asciiTheme="minorHAnsi" w:hAnsiTheme="minorHAnsi"/>
          <w:szCs w:val="24"/>
        </w:rPr>
        <w:t>ensure that the benefits of significant investments to date in universities and health research institutions are protected.</w:t>
      </w:r>
    </w:p>
    <w:p w:rsidR="00755DE3" w:rsidRDefault="00755DE3" w:rsidP="008572E0">
      <w:pPr>
        <w:rPr>
          <w:rFonts w:asciiTheme="minorHAnsi" w:hAnsiTheme="minorHAnsi"/>
          <w:szCs w:val="24"/>
        </w:rPr>
      </w:pPr>
    </w:p>
    <w:p w:rsidR="00755DE3" w:rsidRDefault="00755DE3" w:rsidP="008572E0">
      <w:pPr>
        <w:rPr>
          <w:rFonts w:asciiTheme="minorHAnsi" w:hAnsiTheme="minorHAnsi"/>
          <w:szCs w:val="24"/>
        </w:rPr>
      </w:pPr>
      <w:r>
        <w:rPr>
          <w:rFonts w:asciiTheme="minorHAnsi" w:hAnsiTheme="minorHAnsi"/>
          <w:szCs w:val="24"/>
        </w:rPr>
        <w:t xml:space="preserve">The CRCEF program has four </w:t>
      </w:r>
      <w:r w:rsidR="00552D0B">
        <w:rPr>
          <w:rFonts w:asciiTheme="minorHAnsi" w:hAnsiTheme="minorHAnsi"/>
          <w:szCs w:val="24"/>
        </w:rPr>
        <w:t>stage</w:t>
      </w:r>
      <w:r>
        <w:rPr>
          <w:rFonts w:asciiTheme="minorHAnsi" w:hAnsiTheme="minorHAnsi"/>
          <w:szCs w:val="24"/>
        </w:rPr>
        <w:t>s:</w:t>
      </w:r>
    </w:p>
    <w:p w:rsidR="00755DE3" w:rsidRDefault="00552D0B" w:rsidP="008572E0">
      <w:pPr>
        <w:rPr>
          <w:rFonts w:asciiTheme="minorHAnsi" w:hAnsiTheme="minorHAnsi"/>
          <w:szCs w:val="24"/>
        </w:rPr>
      </w:pPr>
      <w:r>
        <w:rPr>
          <w:rFonts w:asciiTheme="minorHAnsi" w:hAnsiTheme="minorHAnsi"/>
          <w:b/>
          <w:szCs w:val="24"/>
        </w:rPr>
        <w:t>Stage</w:t>
      </w:r>
      <w:r w:rsidR="00755DE3" w:rsidRPr="00552D0B">
        <w:rPr>
          <w:rFonts w:asciiTheme="minorHAnsi" w:hAnsiTheme="minorHAnsi"/>
          <w:b/>
          <w:szCs w:val="24"/>
        </w:rPr>
        <w:t>s 1 and 2</w:t>
      </w:r>
      <w:r w:rsidR="00881AC8">
        <w:rPr>
          <w:rFonts w:asciiTheme="minorHAnsi" w:hAnsiTheme="minorHAnsi"/>
          <w:szCs w:val="24"/>
        </w:rPr>
        <w:t xml:space="preserve"> were</w:t>
      </w:r>
      <w:r w:rsidR="00755DE3">
        <w:rPr>
          <w:rFonts w:asciiTheme="minorHAnsi" w:hAnsiTheme="minorHAnsi"/>
          <w:szCs w:val="24"/>
        </w:rPr>
        <w:t xml:space="preserve"> focused exclusively </w:t>
      </w:r>
      <w:r w:rsidR="00881AC8">
        <w:rPr>
          <w:rFonts w:asciiTheme="minorHAnsi" w:hAnsiTheme="minorHAnsi"/>
          <w:szCs w:val="24"/>
        </w:rPr>
        <w:t>on</w:t>
      </w:r>
      <w:r w:rsidR="00755DE3">
        <w:rPr>
          <w:rFonts w:asciiTheme="minorHAnsi" w:hAnsiTheme="minorHAnsi"/>
          <w:szCs w:val="24"/>
        </w:rPr>
        <w:t xml:space="preserve"> wage support for research personnel whose salaries were adversely affected by COVID-19 and who are paid in part or in whole by non-governmental sources. </w:t>
      </w:r>
      <w:r w:rsidR="00881AC8">
        <w:rPr>
          <w:rFonts w:asciiTheme="minorHAnsi" w:hAnsiTheme="minorHAnsi"/>
          <w:szCs w:val="24"/>
        </w:rPr>
        <w:t>The eligible period for Stages 1 and 2 was 12 weeks within the period March 15, 2020 to August 29, 2020.</w:t>
      </w:r>
    </w:p>
    <w:p w:rsidR="006222AB" w:rsidRDefault="006222AB" w:rsidP="008572E0">
      <w:pPr>
        <w:rPr>
          <w:rFonts w:asciiTheme="minorHAnsi" w:hAnsiTheme="minorHAnsi"/>
          <w:b/>
          <w:szCs w:val="24"/>
        </w:rPr>
      </w:pPr>
    </w:p>
    <w:p w:rsidR="00755DE3" w:rsidRDefault="00881AC8" w:rsidP="008572E0">
      <w:pPr>
        <w:rPr>
          <w:rFonts w:asciiTheme="minorHAnsi" w:hAnsiTheme="minorHAnsi"/>
          <w:szCs w:val="24"/>
        </w:rPr>
      </w:pPr>
      <w:r>
        <w:rPr>
          <w:rFonts w:asciiTheme="minorHAnsi" w:hAnsiTheme="minorHAnsi"/>
          <w:b/>
          <w:szCs w:val="24"/>
        </w:rPr>
        <w:t>*</w:t>
      </w:r>
      <w:r w:rsidR="00552D0B">
        <w:rPr>
          <w:rFonts w:asciiTheme="minorHAnsi" w:hAnsiTheme="minorHAnsi"/>
          <w:b/>
          <w:szCs w:val="24"/>
        </w:rPr>
        <w:t>Stage</w:t>
      </w:r>
      <w:r w:rsidR="00755DE3" w:rsidRPr="00552D0B">
        <w:rPr>
          <w:rFonts w:asciiTheme="minorHAnsi" w:hAnsiTheme="minorHAnsi"/>
          <w:b/>
          <w:szCs w:val="24"/>
        </w:rPr>
        <w:t xml:space="preserve"> 3</w:t>
      </w:r>
      <w:r w:rsidR="00755DE3">
        <w:rPr>
          <w:rFonts w:asciiTheme="minorHAnsi" w:hAnsiTheme="minorHAnsi"/>
          <w:szCs w:val="24"/>
        </w:rPr>
        <w:t xml:space="preserve"> </w:t>
      </w:r>
      <w:r w:rsidR="00552D0B">
        <w:rPr>
          <w:rFonts w:asciiTheme="minorHAnsi" w:hAnsiTheme="minorHAnsi"/>
          <w:szCs w:val="24"/>
        </w:rPr>
        <w:t>is for direct costs associated with maintenance and ramp-up of research activities</w:t>
      </w:r>
      <w:r w:rsidR="006222AB">
        <w:rPr>
          <w:rFonts w:asciiTheme="minorHAnsi" w:hAnsiTheme="minorHAnsi"/>
          <w:szCs w:val="24"/>
        </w:rPr>
        <w:t xml:space="preserve"> for research projects that </w:t>
      </w:r>
      <w:proofErr w:type="gramStart"/>
      <w:r w:rsidR="006222AB">
        <w:rPr>
          <w:rFonts w:asciiTheme="minorHAnsi" w:hAnsiTheme="minorHAnsi"/>
          <w:szCs w:val="24"/>
        </w:rPr>
        <w:t xml:space="preserve">have been adversely </w:t>
      </w:r>
      <w:r w:rsidR="0019515A">
        <w:rPr>
          <w:rFonts w:asciiTheme="minorHAnsi" w:hAnsiTheme="minorHAnsi"/>
          <w:szCs w:val="24"/>
        </w:rPr>
        <w:t>affected</w:t>
      </w:r>
      <w:proofErr w:type="gramEnd"/>
      <w:r w:rsidR="0019515A">
        <w:rPr>
          <w:rFonts w:asciiTheme="minorHAnsi" w:hAnsiTheme="minorHAnsi"/>
          <w:szCs w:val="24"/>
        </w:rPr>
        <w:t xml:space="preserve"> </w:t>
      </w:r>
      <w:bookmarkStart w:id="0" w:name="_GoBack"/>
      <w:bookmarkEnd w:id="0"/>
      <w:r w:rsidR="006222AB">
        <w:rPr>
          <w:rFonts w:asciiTheme="minorHAnsi" w:hAnsiTheme="minorHAnsi"/>
          <w:szCs w:val="24"/>
        </w:rPr>
        <w:t>by the COVID-19 pandemic.</w:t>
      </w:r>
    </w:p>
    <w:p w:rsidR="006222AB" w:rsidRDefault="006222AB" w:rsidP="008572E0">
      <w:pPr>
        <w:rPr>
          <w:rFonts w:asciiTheme="minorHAnsi" w:hAnsiTheme="minorHAnsi"/>
          <w:szCs w:val="24"/>
        </w:rPr>
      </w:pPr>
    </w:p>
    <w:p w:rsidR="006222AB" w:rsidRPr="008C0FB5" w:rsidRDefault="006222AB" w:rsidP="006222AB">
      <w:pPr>
        <w:pStyle w:val="ListParagraph"/>
        <w:ind w:left="360" w:hanging="360"/>
        <w:rPr>
          <w:rFonts w:asciiTheme="minorHAnsi" w:hAnsiTheme="minorHAnsi" w:cstheme="minorHAnsi"/>
          <w:color w:val="000000"/>
        </w:rPr>
      </w:pPr>
      <w:r w:rsidRPr="008C0FB5">
        <w:rPr>
          <w:rFonts w:asciiTheme="minorHAnsi" w:hAnsiTheme="minorHAnsi" w:cstheme="minorHAnsi"/>
          <w:color w:val="000000"/>
        </w:rPr>
        <w:t>Click on the link below to access the eligibility criteria for stage 3 expenses</w:t>
      </w:r>
    </w:p>
    <w:p w:rsidR="006222AB" w:rsidRPr="008C0FB5" w:rsidRDefault="006222AB" w:rsidP="006222AB">
      <w:pPr>
        <w:rPr>
          <w:rFonts w:asciiTheme="minorHAnsi" w:hAnsiTheme="minorHAnsi" w:cstheme="minorHAnsi"/>
          <w:b/>
          <w:szCs w:val="24"/>
        </w:rPr>
      </w:pPr>
      <w:r w:rsidRPr="008C0FB5">
        <w:rPr>
          <w:rFonts w:asciiTheme="minorHAnsi" w:hAnsiTheme="minorHAnsi" w:cstheme="minorHAnsi"/>
          <w:b/>
          <w:szCs w:val="24"/>
        </w:rPr>
        <w:t>https://www.sshrc-crsh.gc.ca/funding-financement/crcef-fucrc/faq/ramp-up_costs-couts_de_reprise-eng.aspx?wbdisable=true</w:t>
      </w:r>
    </w:p>
    <w:p w:rsidR="006222AB" w:rsidRDefault="006222AB" w:rsidP="008572E0">
      <w:pPr>
        <w:rPr>
          <w:rFonts w:asciiTheme="minorHAnsi" w:hAnsiTheme="minorHAnsi"/>
          <w:szCs w:val="24"/>
        </w:rPr>
      </w:pPr>
    </w:p>
    <w:p w:rsidR="00755DE3" w:rsidRPr="008572E0" w:rsidRDefault="00552D0B" w:rsidP="008572E0">
      <w:pPr>
        <w:rPr>
          <w:rFonts w:asciiTheme="minorHAnsi" w:hAnsiTheme="minorHAnsi"/>
          <w:szCs w:val="24"/>
        </w:rPr>
      </w:pPr>
      <w:r>
        <w:rPr>
          <w:rFonts w:asciiTheme="minorHAnsi" w:hAnsiTheme="minorHAnsi"/>
          <w:b/>
          <w:szCs w:val="24"/>
        </w:rPr>
        <w:t>Stage</w:t>
      </w:r>
      <w:r w:rsidR="00755DE3" w:rsidRPr="00552D0B">
        <w:rPr>
          <w:rFonts w:asciiTheme="minorHAnsi" w:hAnsiTheme="minorHAnsi"/>
          <w:b/>
          <w:szCs w:val="24"/>
        </w:rPr>
        <w:t xml:space="preserve"> 4</w:t>
      </w:r>
      <w:r>
        <w:rPr>
          <w:rFonts w:asciiTheme="minorHAnsi" w:hAnsiTheme="minorHAnsi"/>
          <w:szCs w:val="24"/>
        </w:rPr>
        <w:t xml:space="preserve"> extends the eligible period for Stages 1 and 2 from 12 weeks to 24 weeks within the same timeframe of March 15 to August 29, 2020.</w:t>
      </w:r>
    </w:p>
    <w:p w:rsidR="00824E37" w:rsidRDefault="00824E37">
      <w:pPr>
        <w:rPr>
          <w:rFonts w:asciiTheme="minorHAnsi" w:hAnsiTheme="minorHAnsi"/>
          <w:szCs w:val="24"/>
        </w:rPr>
      </w:pPr>
    </w:p>
    <w:p w:rsidR="00881AC8" w:rsidRDefault="00881AC8">
      <w:pPr>
        <w:rPr>
          <w:rFonts w:asciiTheme="minorHAnsi" w:hAnsiTheme="minorHAnsi"/>
          <w:szCs w:val="24"/>
        </w:rPr>
      </w:pPr>
      <w:r>
        <w:rPr>
          <w:rFonts w:asciiTheme="minorHAnsi" w:hAnsiTheme="minorHAnsi"/>
          <w:szCs w:val="24"/>
        </w:rPr>
        <w:t xml:space="preserve">This call is specifically related to CRCEF Stage 3 </w:t>
      </w:r>
      <w:r w:rsidR="002F11C6">
        <w:rPr>
          <w:rFonts w:asciiTheme="minorHAnsi" w:hAnsiTheme="minorHAnsi"/>
          <w:szCs w:val="24"/>
        </w:rPr>
        <w:t>funding, applications can be submitted by Principal Investigators,</w:t>
      </w:r>
      <w:r>
        <w:rPr>
          <w:rFonts w:asciiTheme="minorHAnsi" w:hAnsiTheme="minorHAnsi"/>
          <w:szCs w:val="24"/>
        </w:rPr>
        <w:t xml:space="preserve"> and Scientific leads of shared research facilities who hold research accounts for impacted projects at Baycrest.</w:t>
      </w:r>
    </w:p>
    <w:p w:rsidR="00881AC8" w:rsidRDefault="00881AC8">
      <w:pPr>
        <w:rPr>
          <w:rFonts w:asciiTheme="minorHAnsi" w:hAnsiTheme="minorHAnsi"/>
          <w:szCs w:val="24"/>
        </w:rPr>
      </w:pPr>
    </w:p>
    <w:p w:rsidR="00881AC8" w:rsidRDefault="00881AC8">
      <w:pPr>
        <w:rPr>
          <w:rFonts w:asciiTheme="minorHAnsi" w:hAnsiTheme="minorHAnsi"/>
          <w:szCs w:val="24"/>
        </w:rPr>
      </w:pPr>
      <w:r>
        <w:rPr>
          <w:rFonts w:asciiTheme="minorHAnsi" w:hAnsiTheme="minorHAnsi"/>
          <w:szCs w:val="24"/>
        </w:rPr>
        <w:t>Applicants must complete an application form and submit it to</w:t>
      </w:r>
      <w:r w:rsidR="00ED5199">
        <w:rPr>
          <w:rFonts w:asciiTheme="minorHAnsi" w:hAnsiTheme="minorHAnsi"/>
          <w:szCs w:val="24"/>
        </w:rPr>
        <w:t xml:space="preserve"> </w:t>
      </w:r>
      <w:hyperlink r:id="rId9" w:history="1">
        <w:r w:rsidR="00ED5199" w:rsidRPr="008D556B">
          <w:rPr>
            <w:rStyle w:val="Hyperlink"/>
            <w:rFonts w:asciiTheme="minorHAnsi" w:hAnsiTheme="minorHAnsi"/>
            <w:szCs w:val="24"/>
          </w:rPr>
          <w:t>hder@baycrest.org</w:t>
        </w:r>
      </w:hyperlink>
      <w:r w:rsidR="00ED5199">
        <w:rPr>
          <w:rFonts w:asciiTheme="minorHAnsi" w:hAnsiTheme="minorHAnsi"/>
          <w:szCs w:val="24"/>
        </w:rPr>
        <w:t xml:space="preserve"> and </w:t>
      </w:r>
      <w:proofErr w:type="gramStart"/>
      <w:r w:rsidR="00ED5199">
        <w:rPr>
          <w:rFonts w:asciiTheme="minorHAnsi" w:hAnsiTheme="minorHAnsi"/>
          <w:szCs w:val="24"/>
        </w:rPr>
        <w:t xml:space="preserve">copy </w:t>
      </w:r>
      <w:r>
        <w:rPr>
          <w:rFonts w:asciiTheme="minorHAnsi" w:hAnsiTheme="minorHAnsi"/>
          <w:szCs w:val="24"/>
        </w:rPr>
        <w:t xml:space="preserve"> </w:t>
      </w:r>
      <w:proofErr w:type="gramEnd"/>
      <w:r w:rsidR="00ED5199">
        <w:fldChar w:fldCharType="begin"/>
      </w:r>
      <w:r w:rsidR="00ED5199">
        <w:instrText xml:space="preserve"> HYPERLINK "mailto:jlazarus@baycrest.org" </w:instrText>
      </w:r>
      <w:r w:rsidR="00ED5199">
        <w:fldChar w:fldCharType="separate"/>
      </w:r>
      <w:r w:rsidRPr="008D556B">
        <w:rPr>
          <w:rStyle w:val="Hyperlink"/>
          <w:rFonts w:asciiTheme="minorHAnsi" w:hAnsiTheme="minorHAnsi"/>
          <w:szCs w:val="24"/>
        </w:rPr>
        <w:t>jlazarus@baycrest.org</w:t>
      </w:r>
      <w:r w:rsidR="00ED5199">
        <w:rPr>
          <w:rStyle w:val="Hyperlink"/>
          <w:rFonts w:asciiTheme="minorHAnsi" w:hAnsiTheme="minorHAnsi"/>
          <w:szCs w:val="24"/>
        </w:rPr>
        <w:fldChar w:fldCharType="end"/>
      </w:r>
      <w:r>
        <w:rPr>
          <w:rFonts w:asciiTheme="minorHAnsi" w:hAnsiTheme="minorHAnsi"/>
          <w:szCs w:val="24"/>
        </w:rPr>
        <w:t xml:space="preserve">.  </w:t>
      </w:r>
      <w:r w:rsidRPr="0071055F">
        <w:rPr>
          <w:rFonts w:asciiTheme="minorHAnsi" w:hAnsiTheme="minorHAnsi"/>
          <w:b/>
          <w:szCs w:val="24"/>
        </w:rPr>
        <w:t xml:space="preserve">Applications must be </w:t>
      </w:r>
      <w:r w:rsidR="00983AAE" w:rsidRPr="0071055F">
        <w:rPr>
          <w:rFonts w:asciiTheme="minorHAnsi" w:hAnsiTheme="minorHAnsi"/>
          <w:b/>
          <w:szCs w:val="24"/>
        </w:rPr>
        <w:t xml:space="preserve">submitted 11:59 pm on </w:t>
      </w:r>
      <w:r w:rsidR="0071055F" w:rsidRPr="0071055F">
        <w:rPr>
          <w:rFonts w:asciiTheme="minorHAnsi" w:hAnsiTheme="minorHAnsi"/>
          <w:b/>
          <w:szCs w:val="24"/>
        </w:rPr>
        <w:t xml:space="preserve">Monday, </w:t>
      </w:r>
      <w:r w:rsidR="00983AAE" w:rsidRPr="0071055F">
        <w:rPr>
          <w:rFonts w:asciiTheme="minorHAnsi" w:hAnsiTheme="minorHAnsi"/>
          <w:b/>
          <w:szCs w:val="24"/>
        </w:rPr>
        <w:t>November 2</w:t>
      </w:r>
      <w:r w:rsidR="00ED5199" w:rsidRPr="0071055F">
        <w:rPr>
          <w:rFonts w:asciiTheme="minorHAnsi" w:hAnsiTheme="minorHAnsi"/>
          <w:b/>
          <w:szCs w:val="24"/>
        </w:rPr>
        <w:t>3</w:t>
      </w:r>
      <w:r w:rsidR="00983AAE" w:rsidRPr="0071055F">
        <w:rPr>
          <w:rFonts w:asciiTheme="minorHAnsi" w:hAnsiTheme="minorHAnsi"/>
          <w:b/>
          <w:szCs w:val="24"/>
        </w:rPr>
        <w:t>, 2020</w:t>
      </w:r>
      <w:r w:rsidR="00983AAE" w:rsidRPr="0071055F">
        <w:rPr>
          <w:rFonts w:asciiTheme="minorHAnsi" w:hAnsiTheme="minorHAnsi"/>
          <w:szCs w:val="24"/>
        </w:rPr>
        <w:t>.</w:t>
      </w:r>
      <w:r w:rsidR="00983AAE">
        <w:rPr>
          <w:rFonts w:asciiTheme="minorHAnsi" w:hAnsiTheme="minorHAnsi"/>
          <w:szCs w:val="24"/>
        </w:rPr>
        <w:t xml:space="preserve">  If you require assistance to compile your eligible expenses for submission, send an email to Helen Der (</w:t>
      </w:r>
      <w:hyperlink r:id="rId10" w:history="1">
        <w:r w:rsidR="00983AAE" w:rsidRPr="008D556B">
          <w:rPr>
            <w:rStyle w:val="Hyperlink"/>
            <w:rFonts w:asciiTheme="minorHAnsi" w:hAnsiTheme="minorHAnsi"/>
            <w:szCs w:val="24"/>
          </w:rPr>
          <w:t>hder@baycrest.org</w:t>
        </w:r>
      </w:hyperlink>
      <w:r w:rsidR="00983AAE">
        <w:rPr>
          <w:rFonts w:asciiTheme="minorHAnsi" w:hAnsiTheme="minorHAnsi"/>
          <w:szCs w:val="24"/>
        </w:rPr>
        <w:t>).</w:t>
      </w:r>
    </w:p>
    <w:p w:rsidR="00983AAE" w:rsidRDefault="00983AAE">
      <w:pPr>
        <w:rPr>
          <w:rFonts w:asciiTheme="minorHAnsi" w:hAnsiTheme="minorHAnsi"/>
          <w:szCs w:val="24"/>
        </w:rPr>
      </w:pPr>
    </w:p>
    <w:p w:rsidR="00983AAE" w:rsidRDefault="00983AAE">
      <w:pPr>
        <w:rPr>
          <w:rFonts w:asciiTheme="minorHAnsi" w:hAnsiTheme="minorHAnsi"/>
          <w:szCs w:val="24"/>
        </w:rPr>
      </w:pPr>
      <w:r>
        <w:rPr>
          <w:rFonts w:asciiTheme="minorHAnsi" w:hAnsiTheme="minorHAnsi"/>
          <w:szCs w:val="24"/>
        </w:rPr>
        <w:t xml:space="preserve">Stage 3 funding supports direct costs of research that </w:t>
      </w:r>
      <w:proofErr w:type="gramStart"/>
      <w:r>
        <w:rPr>
          <w:rFonts w:asciiTheme="minorHAnsi" w:hAnsiTheme="minorHAnsi"/>
          <w:szCs w:val="24"/>
        </w:rPr>
        <w:t>have been incurred</w:t>
      </w:r>
      <w:proofErr w:type="gramEnd"/>
      <w:r>
        <w:rPr>
          <w:rFonts w:asciiTheme="minorHAnsi" w:hAnsiTheme="minorHAnsi"/>
          <w:szCs w:val="24"/>
        </w:rPr>
        <w:t xml:space="preserve"> to:</w:t>
      </w:r>
    </w:p>
    <w:p w:rsidR="00983AAE" w:rsidRDefault="00983AAE" w:rsidP="00983AAE">
      <w:pPr>
        <w:pStyle w:val="ListParagraph"/>
        <w:numPr>
          <w:ilvl w:val="0"/>
          <w:numId w:val="13"/>
        </w:numPr>
        <w:rPr>
          <w:rFonts w:asciiTheme="minorHAnsi" w:hAnsiTheme="minorHAnsi"/>
          <w:szCs w:val="24"/>
        </w:rPr>
      </w:pPr>
      <w:r>
        <w:rPr>
          <w:rFonts w:asciiTheme="minorHAnsi" w:hAnsiTheme="minorHAnsi"/>
          <w:szCs w:val="24"/>
        </w:rPr>
        <w:t>Maintain essential research-related commitments during the COVID-19 pandemic; and / or,</w:t>
      </w:r>
    </w:p>
    <w:p w:rsidR="00983AAE" w:rsidRDefault="00983AAE" w:rsidP="00983AAE">
      <w:pPr>
        <w:pStyle w:val="ListParagraph"/>
        <w:numPr>
          <w:ilvl w:val="0"/>
          <w:numId w:val="13"/>
        </w:numPr>
        <w:rPr>
          <w:rFonts w:asciiTheme="minorHAnsi" w:hAnsiTheme="minorHAnsi"/>
          <w:szCs w:val="24"/>
        </w:rPr>
      </w:pPr>
      <w:r>
        <w:rPr>
          <w:rFonts w:asciiTheme="minorHAnsi" w:hAnsiTheme="minorHAnsi"/>
          <w:szCs w:val="24"/>
        </w:rPr>
        <w:t>Ramp-up to full research activities.</w:t>
      </w:r>
    </w:p>
    <w:p w:rsidR="00983AAE" w:rsidRDefault="00983AAE" w:rsidP="00983AAE">
      <w:pPr>
        <w:pStyle w:val="ListParagraph"/>
        <w:ind w:left="0"/>
        <w:rPr>
          <w:rFonts w:asciiTheme="minorHAnsi" w:hAnsiTheme="minorHAnsi"/>
          <w:szCs w:val="24"/>
        </w:rPr>
      </w:pPr>
    </w:p>
    <w:p w:rsidR="00983AAE" w:rsidRDefault="00983AAE" w:rsidP="00983AAE">
      <w:pPr>
        <w:pStyle w:val="ListParagraph"/>
        <w:ind w:left="0"/>
        <w:rPr>
          <w:rFonts w:asciiTheme="minorHAnsi" w:hAnsiTheme="minorHAnsi"/>
          <w:szCs w:val="24"/>
        </w:rPr>
      </w:pPr>
      <w:r>
        <w:rPr>
          <w:rFonts w:asciiTheme="minorHAnsi" w:hAnsiTheme="minorHAnsi"/>
          <w:szCs w:val="24"/>
        </w:rPr>
        <w:lastRenderedPageBreak/>
        <w:t>CRCEF has allocated a funding envelope to the University of Toronto and its affiliated Hospitals that is based on the funding data that is submitted to the Canadian Association of University Business Offices (CAUBO) (</w:t>
      </w:r>
      <w:hyperlink r:id="rId11" w:history="1">
        <w:r w:rsidRPr="008D556B">
          <w:rPr>
            <w:rStyle w:val="Hyperlink"/>
            <w:rFonts w:asciiTheme="minorHAnsi" w:hAnsiTheme="minorHAnsi"/>
            <w:szCs w:val="24"/>
          </w:rPr>
          <w:t>https://www.caubo.ca/</w:t>
        </w:r>
      </w:hyperlink>
      <w:r>
        <w:rPr>
          <w:rFonts w:asciiTheme="minorHAnsi" w:hAnsiTheme="minorHAnsi"/>
          <w:szCs w:val="24"/>
        </w:rPr>
        <w:t xml:space="preserve">).  Baycrest’s share of the funding envelope of </w:t>
      </w:r>
      <w:r w:rsidR="0049275F">
        <w:rPr>
          <w:rFonts w:asciiTheme="minorHAnsi" w:hAnsiTheme="minorHAnsi"/>
          <w:szCs w:val="24"/>
        </w:rPr>
        <w:t>$18,623,856 is $101,687.  If the applications demonstrate funding needs that exceed the notional amount, the criteria noted below will be applied for the distribution of the available funding.</w:t>
      </w:r>
    </w:p>
    <w:p w:rsidR="00983AAE" w:rsidRDefault="00983AAE" w:rsidP="00983AAE">
      <w:pPr>
        <w:pStyle w:val="ListParagraph"/>
        <w:ind w:left="0"/>
        <w:rPr>
          <w:rFonts w:asciiTheme="minorHAnsi" w:hAnsiTheme="minorHAnsi"/>
          <w:szCs w:val="24"/>
        </w:rPr>
      </w:pPr>
    </w:p>
    <w:p w:rsidR="006222AB" w:rsidRPr="0049275F" w:rsidRDefault="0049275F" w:rsidP="006222AB">
      <w:pPr>
        <w:rPr>
          <w:rFonts w:asciiTheme="minorHAnsi" w:hAnsiTheme="minorHAnsi"/>
          <w:b/>
          <w:szCs w:val="24"/>
          <w:lang w:val="en-CA"/>
        </w:rPr>
      </w:pPr>
      <w:r w:rsidRPr="0049275F">
        <w:rPr>
          <w:rFonts w:asciiTheme="minorHAnsi" w:hAnsiTheme="minorHAnsi"/>
          <w:b/>
          <w:szCs w:val="24"/>
          <w:lang w:val="en-CA"/>
        </w:rPr>
        <w:t xml:space="preserve">Eligible expenses in Stage 3 of the CRCEF program are those that meeting the </w:t>
      </w:r>
      <w:r w:rsidR="002F11C6">
        <w:rPr>
          <w:rFonts w:asciiTheme="minorHAnsi" w:hAnsiTheme="minorHAnsi"/>
          <w:b/>
          <w:szCs w:val="24"/>
          <w:lang w:val="en-CA"/>
        </w:rPr>
        <w:t>following criteria:</w:t>
      </w:r>
    </w:p>
    <w:p w:rsidR="006222AB" w:rsidRPr="0049275F" w:rsidRDefault="006222AB" w:rsidP="006222AB">
      <w:pPr>
        <w:rPr>
          <w:rFonts w:asciiTheme="minorHAnsi" w:hAnsiTheme="minorHAnsi"/>
          <w:b/>
          <w:szCs w:val="24"/>
          <w:lang w:val="en-CA"/>
        </w:rPr>
      </w:pPr>
    </w:p>
    <w:p w:rsidR="00C82C65" w:rsidRPr="0049275F" w:rsidRDefault="0049275F" w:rsidP="00C82C65">
      <w:pPr>
        <w:numPr>
          <w:ilvl w:val="0"/>
          <w:numId w:val="10"/>
        </w:numPr>
        <w:rPr>
          <w:rFonts w:asciiTheme="minorHAnsi" w:hAnsiTheme="minorHAnsi"/>
          <w:b/>
          <w:szCs w:val="24"/>
          <w:lang w:val="en-CA"/>
        </w:rPr>
      </w:pPr>
      <w:r w:rsidRPr="0049275F">
        <w:rPr>
          <w:rFonts w:asciiTheme="minorHAnsi" w:hAnsiTheme="minorHAnsi"/>
          <w:b/>
          <w:szCs w:val="24"/>
          <w:lang w:val="en-CA"/>
        </w:rPr>
        <w:t xml:space="preserve">They are </w:t>
      </w:r>
      <w:r w:rsidR="00C82C65" w:rsidRPr="0049275F">
        <w:rPr>
          <w:rFonts w:asciiTheme="minorHAnsi" w:hAnsiTheme="minorHAnsi"/>
          <w:b/>
          <w:szCs w:val="24"/>
          <w:lang w:val="en-CA"/>
        </w:rPr>
        <w:t>unanticipated additional costs that would not have been incurred in the absence of the COVID-19 pandemic and cannot be funded by existing sources of funds;</w:t>
      </w:r>
    </w:p>
    <w:p w:rsidR="00C82C65" w:rsidRPr="0049275F" w:rsidRDefault="0049275F" w:rsidP="00C82C65">
      <w:pPr>
        <w:numPr>
          <w:ilvl w:val="0"/>
          <w:numId w:val="10"/>
        </w:numPr>
        <w:rPr>
          <w:rFonts w:asciiTheme="minorHAnsi" w:hAnsiTheme="minorHAnsi"/>
          <w:b/>
          <w:szCs w:val="24"/>
          <w:lang w:val="en-CA"/>
        </w:rPr>
      </w:pPr>
      <w:r w:rsidRPr="0049275F">
        <w:rPr>
          <w:rFonts w:asciiTheme="minorHAnsi" w:hAnsiTheme="minorHAnsi"/>
          <w:b/>
          <w:szCs w:val="24"/>
          <w:lang w:val="en-CA"/>
        </w:rPr>
        <w:t xml:space="preserve">The are </w:t>
      </w:r>
      <w:r w:rsidR="00C82C65" w:rsidRPr="0049275F">
        <w:rPr>
          <w:rFonts w:asciiTheme="minorHAnsi" w:hAnsiTheme="minorHAnsi"/>
          <w:b/>
          <w:szCs w:val="24"/>
          <w:lang w:val="en-CA"/>
        </w:rPr>
        <w:t>for direct costs associated with maintenance and ramp-up of research activities;</w:t>
      </w:r>
    </w:p>
    <w:p w:rsidR="0049275F" w:rsidRPr="0049275F" w:rsidRDefault="0049275F" w:rsidP="007526F2">
      <w:pPr>
        <w:numPr>
          <w:ilvl w:val="0"/>
          <w:numId w:val="10"/>
        </w:numPr>
        <w:rPr>
          <w:rFonts w:asciiTheme="minorHAnsi" w:hAnsiTheme="minorHAnsi"/>
          <w:b/>
          <w:szCs w:val="24"/>
          <w:lang w:val="en-CA"/>
        </w:rPr>
      </w:pPr>
      <w:r w:rsidRPr="0049275F">
        <w:rPr>
          <w:rFonts w:asciiTheme="minorHAnsi" w:hAnsiTheme="minorHAnsi"/>
          <w:b/>
          <w:szCs w:val="24"/>
          <w:lang w:val="en-CA"/>
        </w:rPr>
        <w:t xml:space="preserve">They are </w:t>
      </w:r>
      <w:r w:rsidR="00C82C65" w:rsidRPr="0049275F">
        <w:rPr>
          <w:rFonts w:asciiTheme="minorHAnsi" w:hAnsiTheme="minorHAnsi"/>
          <w:b/>
          <w:szCs w:val="24"/>
          <w:lang w:val="en-CA"/>
        </w:rPr>
        <w:t>costs borne by research projects</w:t>
      </w:r>
      <w:r w:rsidRPr="0049275F">
        <w:rPr>
          <w:rFonts w:asciiTheme="minorHAnsi" w:hAnsiTheme="minorHAnsi"/>
          <w:b/>
          <w:szCs w:val="24"/>
          <w:lang w:val="en-CA"/>
        </w:rPr>
        <w:t>.</w:t>
      </w:r>
    </w:p>
    <w:p w:rsidR="006222AB" w:rsidRDefault="006222AB" w:rsidP="0049275F">
      <w:pPr>
        <w:ind w:left="720"/>
        <w:rPr>
          <w:rFonts w:asciiTheme="minorHAnsi" w:hAnsiTheme="minorHAnsi"/>
          <w:szCs w:val="24"/>
          <w:lang w:val="en-CA"/>
        </w:rPr>
      </w:pPr>
    </w:p>
    <w:p w:rsidR="0049275F" w:rsidRDefault="0049275F" w:rsidP="00C82C65">
      <w:pPr>
        <w:rPr>
          <w:rFonts w:asciiTheme="minorHAnsi" w:hAnsiTheme="minorHAnsi"/>
          <w:szCs w:val="24"/>
          <w:lang w:val="en-CA"/>
        </w:rPr>
      </w:pPr>
      <w:r>
        <w:rPr>
          <w:rFonts w:asciiTheme="minorHAnsi" w:hAnsiTheme="minorHAnsi"/>
          <w:szCs w:val="24"/>
          <w:lang w:val="en-CA"/>
        </w:rPr>
        <w:t xml:space="preserve">On </w:t>
      </w:r>
      <w:r w:rsidR="002F11C6">
        <w:rPr>
          <w:rFonts w:asciiTheme="minorHAnsi" w:hAnsiTheme="minorHAnsi"/>
          <w:szCs w:val="24"/>
          <w:lang w:val="en-CA"/>
        </w:rPr>
        <w:t>e</w:t>
      </w:r>
      <w:r w:rsidR="002F11C6" w:rsidRPr="00C82C65">
        <w:rPr>
          <w:rFonts w:asciiTheme="minorHAnsi" w:hAnsiTheme="minorHAnsi"/>
          <w:szCs w:val="24"/>
          <w:lang w:val="en-CA"/>
        </w:rPr>
        <w:t>xpenses,</w:t>
      </w:r>
      <w:r w:rsidR="00C82C65" w:rsidRPr="00C82C65">
        <w:rPr>
          <w:rFonts w:asciiTheme="minorHAnsi" w:hAnsiTheme="minorHAnsi"/>
          <w:szCs w:val="24"/>
          <w:lang w:val="en-CA"/>
        </w:rPr>
        <w:t xml:space="preserve"> that are </w:t>
      </w:r>
      <w:r w:rsidR="00C82C65" w:rsidRPr="0049275F">
        <w:rPr>
          <w:rFonts w:asciiTheme="minorHAnsi" w:hAnsiTheme="minorHAnsi"/>
          <w:szCs w:val="24"/>
          <w:u w:val="single"/>
          <w:lang w:val="en-CA"/>
        </w:rPr>
        <w:t>extraordinary and incremental</w:t>
      </w:r>
      <w:r w:rsidR="00C82C65" w:rsidRPr="00C82C65">
        <w:rPr>
          <w:rFonts w:asciiTheme="minorHAnsi" w:hAnsiTheme="minorHAnsi"/>
          <w:szCs w:val="24"/>
          <w:lang w:val="en-CA"/>
        </w:rPr>
        <w:t xml:space="preserve"> to those already covered by existing sources of funds and have been incurred between March 15 and November 15, 2020, can be covered by the CRCEF</w:t>
      </w:r>
      <w:r>
        <w:rPr>
          <w:rFonts w:asciiTheme="minorHAnsi" w:hAnsiTheme="minorHAnsi"/>
          <w:szCs w:val="24"/>
          <w:lang w:val="en-CA"/>
        </w:rPr>
        <w:t xml:space="preserve"> at up to </w:t>
      </w:r>
      <w:r w:rsidR="00C82C65" w:rsidRPr="00C82C65">
        <w:rPr>
          <w:rFonts w:asciiTheme="minorHAnsi" w:hAnsiTheme="minorHAnsi"/>
          <w:szCs w:val="24"/>
          <w:lang w:val="en-CA"/>
        </w:rPr>
        <w:t>75%</w:t>
      </w:r>
      <w:r>
        <w:rPr>
          <w:rFonts w:asciiTheme="minorHAnsi" w:hAnsiTheme="minorHAnsi"/>
          <w:szCs w:val="24"/>
          <w:lang w:val="en-CA"/>
        </w:rPr>
        <w:t>.</w:t>
      </w:r>
    </w:p>
    <w:p w:rsidR="0049275F" w:rsidRDefault="0049275F" w:rsidP="00C82C65">
      <w:pPr>
        <w:rPr>
          <w:rFonts w:asciiTheme="minorHAnsi" w:hAnsiTheme="minorHAnsi"/>
          <w:szCs w:val="24"/>
          <w:lang w:val="en-CA"/>
        </w:rPr>
      </w:pPr>
    </w:p>
    <w:p w:rsidR="0049275F" w:rsidRDefault="0049275F" w:rsidP="00C82C65">
      <w:pPr>
        <w:rPr>
          <w:rFonts w:asciiTheme="minorHAnsi" w:hAnsiTheme="minorHAnsi"/>
          <w:szCs w:val="24"/>
          <w:lang w:val="en-CA"/>
        </w:rPr>
      </w:pPr>
      <w:r w:rsidRPr="0049275F">
        <w:rPr>
          <w:rFonts w:asciiTheme="minorHAnsi" w:hAnsiTheme="minorHAnsi"/>
          <w:szCs w:val="24"/>
        </w:rPr>
        <w:t xml:space="preserve">Extraordinary incremental costs incurred for research projects funded by either governmental or non-governmental sources are eligible for Stage 3 support. Extraordinary incremental costs are defined as </w:t>
      </w:r>
      <w:r w:rsidRPr="0049275F">
        <w:rPr>
          <w:rFonts w:asciiTheme="minorHAnsi" w:hAnsiTheme="minorHAnsi"/>
          <w:b/>
          <w:szCs w:val="24"/>
        </w:rPr>
        <w:t>unanticipated additional costs that would not normally have been incurred in the absence of the COVID-19 pandemic and cannot be funded by existing sources of funds</w:t>
      </w:r>
      <w:r w:rsidRPr="0049275F">
        <w:rPr>
          <w:rFonts w:asciiTheme="minorHAnsi" w:hAnsiTheme="minorHAnsi"/>
          <w:szCs w:val="24"/>
        </w:rPr>
        <w:t>.</w:t>
      </w:r>
    </w:p>
    <w:p w:rsidR="0049275F" w:rsidRDefault="0049275F" w:rsidP="00C82C65">
      <w:pPr>
        <w:rPr>
          <w:rFonts w:asciiTheme="minorHAnsi" w:hAnsiTheme="minorHAnsi"/>
          <w:szCs w:val="24"/>
          <w:lang w:val="en-CA"/>
        </w:rPr>
      </w:pPr>
    </w:p>
    <w:p w:rsidR="0049275F" w:rsidRDefault="0049275F" w:rsidP="00C82C65">
      <w:pPr>
        <w:rPr>
          <w:rFonts w:asciiTheme="minorHAnsi" w:hAnsiTheme="minorHAnsi"/>
          <w:szCs w:val="24"/>
          <w:lang w:val="en-CA"/>
        </w:rPr>
      </w:pPr>
      <w:r>
        <w:rPr>
          <w:rFonts w:asciiTheme="minorHAnsi" w:hAnsiTheme="minorHAnsi"/>
          <w:szCs w:val="24"/>
          <w:lang w:val="en-CA"/>
        </w:rPr>
        <w:t>Costs must be associated with the maintenance and / or ramp-up of research activities.</w:t>
      </w:r>
    </w:p>
    <w:p w:rsidR="0049275F" w:rsidRDefault="0049275F" w:rsidP="00C82C65">
      <w:pPr>
        <w:rPr>
          <w:rFonts w:asciiTheme="minorHAnsi" w:hAnsiTheme="minorHAnsi"/>
          <w:szCs w:val="24"/>
          <w:lang w:val="en-CA"/>
        </w:rPr>
      </w:pPr>
    </w:p>
    <w:p w:rsidR="0049275F" w:rsidRDefault="0049275F" w:rsidP="00C82C65">
      <w:pPr>
        <w:rPr>
          <w:rFonts w:asciiTheme="minorHAnsi" w:hAnsiTheme="minorHAnsi"/>
          <w:szCs w:val="24"/>
          <w:lang w:val="en-CA"/>
        </w:rPr>
      </w:pPr>
      <w:r>
        <w:rPr>
          <w:rFonts w:asciiTheme="minorHAnsi" w:hAnsiTheme="minorHAnsi"/>
          <w:szCs w:val="24"/>
          <w:lang w:val="en-CA"/>
        </w:rPr>
        <w:t xml:space="preserve">Applicants must justify the need for the funds based on actual and forecasted committed costs incurred between </w:t>
      </w:r>
      <w:r w:rsidR="00255179">
        <w:rPr>
          <w:rFonts w:asciiTheme="minorHAnsi" w:hAnsiTheme="minorHAnsi"/>
          <w:b/>
          <w:szCs w:val="24"/>
          <w:lang w:val="en-CA"/>
        </w:rPr>
        <w:t>March 15</w:t>
      </w:r>
      <w:r w:rsidRPr="00CD08D0">
        <w:rPr>
          <w:rFonts w:asciiTheme="minorHAnsi" w:hAnsiTheme="minorHAnsi"/>
          <w:b/>
          <w:szCs w:val="24"/>
          <w:lang w:val="en-CA"/>
        </w:rPr>
        <w:t xml:space="preserve"> and November 15, 2020</w:t>
      </w:r>
      <w:r>
        <w:rPr>
          <w:rFonts w:asciiTheme="minorHAnsi" w:hAnsiTheme="minorHAnsi"/>
          <w:szCs w:val="24"/>
          <w:lang w:val="en-CA"/>
        </w:rPr>
        <w:t>.  Eligible expenses include costs associated with the following categories.</w:t>
      </w:r>
    </w:p>
    <w:p w:rsidR="0094109D" w:rsidRDefault="0094109D" w:rsidP="00C82C65">
      <w:pPr>
        <w:rPr>
          <w:rFonts w:asciiTheme="minorHAnsi" w:hAnsiTheme="minorHAnsi"/>
          <w:szCs w:val="24"/>
          <w:lang w:val="en-CA"/>
        </w:rPr>
      </w:pPr>
    </w:p>
    <w:p w:rsidR="0094109D" w:rsidRPr="0094109D" w:rsidRDefault="0094109D" w:rsidP="0094109D">
      <w:pPr>
        <w:rPr>
          <w:rFonts w:asciiTheme="minorHAnsi" w:hAnsiTheme="minorHAnsi"/>
          <w:szCs w:val="24"/>
          <w:lang w:val="en-CA"/>
        </w:rPr>
      </w:pPr>
      <w:r w:rsidRPr="0094109D">
        <w:rPr>
          <w:rFonts w:asciiTheme="minorHAnsi" w:hAnsiTheme="minorHAnsi"/>
          <w:b/>
          <w:bCs/>
          <w:szCs w:val="24"/>
          <w:lang w:val="en-CA"/>
        </w:rPr>
        <w:t>Maintenance costs:</w:t>
      </w:r>
    </w:p>
    <w:p w:rsidR="0094109D" w:rsidRPr="0094109D" w:rsidRDefault="0094109D" w:rsidP="00CD08D0">
      <w:pPr>
        <w:rPr>
          <w:rFonts w:asciiTheme="minorHAnsi" w:hAnsiTheme="minorHAnsi"/>
          <w:szCs w:val="24"/>
          <w:lang w:val="en-CA"/>
        </w:rPr>
      </w:pPr>
      <w:r w:rsidRPr="0094109D">
        <w:rPr>
          <w:rFonts w:asciiTheme="minorHAnsi" w:hAnsiTheme="minorHAnsi"/>
          <w:szCs w:val="24"/>
          <w:lang w:val="en-CA"/>
        </w:rPr>
        <w:t>Costs incurred within the eligible period and associated with maintaining essential research-related activities during the pandemic that are exceptional and incremental to those already covered by existing sources of funds, funded at up to 75%. This includes:</w:t>
      </w:r>
    </w:p>
    <w:p w:rsidR="0094109D" w:rsidRPr="0094109D" w:rsidRDefault="0094109D" w:rsidP="00CD08D0">
      <w:pPr>
        <w:numPr>
          <w:ilvl w:val="0"/>
          <w:numId w:val="11"/>
        </w:numPr>
        <w:rPr>
          <w:rFonts w:asciiTheme="minorHAnsi" w:hAnsiTheme="minorHAnsi"/>
          <w:szCs w:val="24"/>
          <w:lang w:val="en-CA"/>
        </w:rPr>
      </w:pPr>
      <w:r w:rsidRPr="0094109D">
        <w:rPr>
          <w:rFonts w:asciiTheme="minorHAnsi" w:hAnsiTheme="minorHAnsi"/>
          <w:szCs w:val="24"/>
          <w:lang w:val="en-CA"/>
        </w:rPr>
        <w:t>animal and specimen care through the crisis period;</w:t>
      </w:r>
    </w:p>
    <w:p w:rsidR="0094109D" w:rsidRPr="0094109D" w:rsidRDefault="0094109D" w:rsidP="00CD08D0">
      <w:pPr>
        <w:numPr>
          <w:ilvl w:val="0"/>
          <w:numId w:val="11"/>
        </w:numPr>
        <w:rPr>
          <w:rFonts w:asciiTheme="minorHAnsi" w:hAnsiTheme="minorHAnsi"/>
          <w:szCs w:val="24"/>
          <w:lang w:val="en-CA"/>
        </w:rPr>
      </w:pPr>
      <w:r w:rsidRPr="0094109D">
        <w:rPr>
          <w:rFonts w:asciiTheme="minorHAnsi" w:hAnsiTheme="minorHAnsi"/>
          <w:szCs w:val="24"/>
          <w:lang w:val="en-CA"/>
        </w:rPr>
        <w:t>maintenance of equipment, software, cohorts, datasets, including warranties, licenses and service contracts;</w:t>
      </w:r>
    </w:p>
    <w:p w:rsidR="0094109D" w:rsidRPr="0094109D" w:rsidRDefault="0094109D" w:rsidP="00CD08D0">
      <w:pPr>
        <w:numPr>
          <w:ilvl w:val="0"/>
          <w:numId w:val="11"/>
        </w:numPr>
        <w:rPr>
          <w:rFonts w:asciiTheme="minorHAnsi" w:hAnsiTheme="minorHAnsi"/>
          <w:szCs w:val="24"/>
          <w:lang w:val="en-CA"/>
        </w:rPr>
      </w:pPr>
      <w:r w:rsidRPr="0094109D">
        <w:rPr>
          <w:rFonts w:asciiTheme="minorHAnsi" w:hAnsiTheme="minorHAnsi"/>
          <w:szCs w:val="24"/>
          <w:lang w:val="en-CA"/>
        </w:rPr>
        <w:t>technological equipment for remote access to maintain assets; and</w:t>
      </w:r>
    </w:p>
    <w:p w:rsidR="0094109D" w:rsidRDefault="0094109D" w:rsidP="00CD08D0">
      <w:pPr>
        <w:numPr>
          <w:ilvl w:val="0"/>
          <w:numId w:val="11"/>
        </w:numPr>
        <w:rPr>
          <w:rFonts w:asciiTheme="minorHAnsi" w:hAnsiTheme="minorHAnsi"/>
          <w:szCs w:val="24"/>
          <w:lang w:val="en-CA"/>
        </w:rPr>
      </w:pPr>
      <w:r w:rsidRPr="0094109D">
        <w:rPr>
          <w:rFonts w:asciiTheme="minorHAnsi" w:hAnsiTheme="minorHAnsi"/>
          <w:szCs w:val="24"/>
          <w:lang w:val="en-CA"/>
        </w:rPr>
        <w:t>safety equipment for personnel dedicated to maintenance.</w:t>
      </w:r>
    </w:p>
    <w:p w:rsidR="00CD08D0" w:rsidRDefault="00CD08D0" w:rsidP="00CD08D0">
      <w:pPr>
        <w:numPr>
          <w:ilvl w:val="0"/>
          <w:numId w:val="11"/>
        </w:numPr>
        <w:rPr>
          <w:rFonts w:asciiTheme="minorHAnsi" w:hAnsiTheme="minorHAnsi"/>
          <w:szCs w:val="24"/>
          <w:lang w:val="en-CA"/>
        </w:rPr>
      </w:pPr>
      <w:r>
        <w:rPr>
          <w:rFonts w:asciiTheme="minorHAnsi" w:hAnsiTheme="minorHAnsi"/>
          <w:szCs w:val="24"/>
          <w:lang w:val="en-CA"/>
        </w:rPr>
        <w:t>internet connection, land line, cell phone connecting and equipment for working remotely, if they meet CRCEF Stage 3 eligibility criteria, i.e. they must have been necessary to maintain or re-start a direct research activity;</w:t>
      </w:r>
    </w:p>
    <w:p w:rsidR="0094109D" w:rsidRPr="0094109D" w:rsidRDefault="0094109D" w:rsidP="0094109D">
      <w:pPr>
        <w:ind w:left="1440"/>
        <w:rPr>
          <w:rFonts w:asciiTheme="minorHAnsi" w:hAnsiTheme="minorHAnsi"/>
          <w:szCs w:val="24"/>
          <w:lang w:val="en-CA"/>
        </w:rPr>
      </w:pPr>
    </w:p>
    <w:p w:rsidR="00CD08D0" w:rsidRDefault="00CD08D0">
      <w:pPr>
        <w:rPr>
          <w:rFonts w:asciiTheme="minorHAnsi" w:hAnsiTheme="minorHAnsi"/>
          <w:b/>
          <w:bCs/>
          <w:szCs w:val="24"/>
          <w:lang w:val="en-CA"/>
        </w:rPr>
      </w:pPr>
      <w:r>
        <w:rPr>
          <w:rFonts w:asciiTheme="minorHAnsi" w:hAnsiTheme="minorHAnsi"/>
          <w:b/>
          <w:bCs/>
          <w:szCs w:val="24"/>
          <w:lang w:val="en-CA"/>
        </w:rPr>
        <w:br w:type="page"/>
      </w:r>
    </w:p>
    <w:p w:rsidR="0094109D" w:rsidRPr="0094109D" w:rsidRDefault="0094109D" w:rsidP="0094109D">
      <w:pPr>
        <w:rPr>
          <w:rFonts w:asciiTheme="minorHAnsi" w:hAnsiTheme="minorHAnsi"/>
          <w:szCs w:val="24"/>
          <w:lang w:val="en-CA"/>
        </w:rPr>
      </w:pPr>
      <w:r w:rsidRPr="0094109D">
        <w:rPr>
          <w:rFonts w:asciiTheme="minorHAnsi" w:hAnsiTheme="minorHAnsi"/>
          <w:b/>
          <w:bCs/>
          <w:szCs w:val="24"/>
          <w:lang w:val="en-CA"/>
        </w:rPr>
        <w:lastRenderedPageBreak/>
        <w:t>Ramp-up costs:</w:t>
      </w:r>
    </w:p>
    <w:p w:rsidR="0094109D" w:rsidRPr="0094109D" w:rsidRDefault="0094109D" w:rsidP="00CD08D0">
      <w:pPr>
        <w:rPr>
          <w:rFonts w:asciiTheme="minorHAnsi" w:hAnsiTheme="minorHAnsi"/>
          <w:szCs w:val="24"/>
          <w:lang w:val="en-CA"/>
        </w:rPr>
      </w:pPr>
      <w:r w:rsidRPr="0094109D">
        <w:rPr>
          <w:rFonts w:asciiTheme="minorHAnsi" w:hAnsiTheme="minorHAnsi"/>
          <w:szCs w:val="24"/>
          <w:lang w:val="en-CA"/>
        </w:rPr>
        <w:t>Costs incurred within the eligible period and associated with full ramp-up of research activities, as physical distancing measures are eased and research activities can resume. Only costs that are exceptional and incremental to those already covered by existing sources of funds will be supported, at up to 75%. Eligible expenses include those incurred at the project level and associated with:</w:t>
      </w:r>
    </w:p>
    <w:p w:rsidR="0094109D" w:rsidRPr="0094109D" w:rsidRDefault="0094109D" w:rsidP="00CD08D0">
      <w:pPr>
        <w:numPr>
          <w:ilvl w:val="0"/>
          <w:numId w:val="12"/>
        </w:numPr>
        <w:rPr>
          <w:rFonts w:asciiTheme="minorHAnsi" w:hAnsiTheme="minorHAnsi"/>
          <w:szCs w:val="24"/>
          <w:lang w:val="en-CA"/>
        </w:rPr>
      </w:pPr>
      <w:r w:rsidRPr="0094109D">
        <w:rPr>
          <w:rFonts w:asciiTheme="minorHAnsi" w:hAnsiTheme="minorHAnsi"/>
          <w:szCs w:val="24"/>
          <w:lang w:val="en-CA"/>
        </w:rPr>
        <w:t>re-organizing the research environment and activities;</w:t>
      </w:r>
    </w:p>
    <w:p w:rsidR="0094109D" w:rsidRPr="0094109D" w:rsidRDefault="0094109D" w:rsidP="00CD08D0">
      <w:pPr>
        <w:numPr>
          <w:ilvl w:val="0"/>
          <w:numId w:val="12"/>
        </w:numPr>
        <w:rPr>
          <w:rFonts w:asciiTheme="minorHAnsi" w:hAnsiTheme="minorHAnsi"/>
          <w:szCs w:val="24"/>
          <w:lang w:val="en-CA"/>
        </w:rPr>
      </w:pPr>
      <w:r w:rsidRPr="0094109D">
        <w:rPr>
          <w:rFonts w:asciiTheme="minorHAnsi" w:hAnsiTheme="minorHAnsi"/>
          <w:szCs w:val="24"/>
          <w:lang w:val="en-CA"/>
        </w:rPr>
        <w:t>additional costs to bring the research back to its pre-pandemic level, including experiments or related to the restart of collections and datasets (e.g., population-based, environmental);</w:t>
      </w:r>
    </w:p>
    <w:p w:rsidR="0094109D" w:rsidRPr="0094109D" w:rsidRDefault="0094109D" w:rsidP="00CD08D0">
      <w:pPr>
        <w:numPr>
          <w:ilvl w:val="0"/>
          <w:numId w:val="12"/>
        </w:numPr>
        <w:rPr>
          <w:rFonts w:asciiTheme="minorHAnsi" w:hAnsiTheme="minorHAnsi"/>
          <w:szCs w:val="24"/>
          <w:lang w:val="en-CA"/>
        </w:rPr>
      </w:pPr>
      <w:r w:rsidRPr="0094109D">
        <w:rPr>
          <w:rFonts w:asciiTheme="minorHAnsi" w:hAnsiTheme="minorHAnsi"/>
          <w:szCs w:val="24"/>
          <w:lang w:val="en-CA"/>
        </w:rPr>
        <w:t>user fees charged by shared platforms to researchers to restart res</w:t>
      </w:r>
      <w:r w:rsidR="0049275F">
        <w:rPr>
          <w:rFonts w:asciiTheme="minorHAnsi" w:hAnsiTheme="minorHAnsi"/>
          <w:szCs w:val="24"/>
          <w:lang w:val="en-CA"/>
        </w:rPr>
        <w:t>earch activities (e.g., animal-c</w:t>
      </w:r>
      <w:r w:rsidRPr="0094109D">
        <w:rPr>
          <w:rFonts w:asciiTheme="minorHAnsi" w:hAnsiTheme="minorHAnsi"/>
          <w:szCs w:val="24"/>
          <w:lang w:val="en-CA"/>
        </w:rPr>
        <w:t>are facilities, digital labs);</w:t>
      </w:r>
    </w:p>
    <w:p w:rsidR="0094109D" w:rsidRPr="0094109D" w:rsidRDefault="0094109D" w:rsidP="00CD08D0">
      <w:pPr>
        <w:numPr>
          <w:ilvl w:val="0"/>
          <w:numId w:val="12"/>
        </w:numPr>
        <w:rPr>
          <w:rFonts w:asciiTheme="minorHAnsi" w:hAnsiTheme="minorHAnsi"/>
          <w:szCs w:val="24"/>
          <w:lang w:val="en-CA"/>
        </w:rPr>
      </w:pPr>
      <w:r w:rsidRPr="0094109D">
        <w:rPr>
          <w:rFonts w:asciiTheme="minorHAnsi" w:hAnsiTheme="minorHAnsi"/>
          <w:szCs w:val="24"/>
          <w:lang w:val="en-CA"/>
        </w:rPr>
        <w:t>re-scheduling and restarting human and clinical trials;</w:t>
      </w:r>
    </w:p>
    <w:p w:rsidR="0094109D" w:rsidRPr="0094109D" w:rsidRDefault="0094109D" w:rsidP="00CD08D0">
      <w:pPr>
        <w:numPr>
          <w:ilvl w:val="0"/>
          <w:numId w:val="12"/>
        </w:numPr>
        <w:rPr>
          <w:rFonts w:asciiTheme="minorHAnsi" w:hAnsiTheme="minorHAnsi"/>
          <w:szCs w:val="24"/>
          <w:lang w:val="en-CA"/>
        </w:rPr>
      </w:pPr>
      <w:r w:rsidRPr="0094109D">
        <w:rPr>
          <w:rFonts w:asciiTheme="minorHAnsi" w:hAnsiTheme="minorHAnsi"/>
          <w:szCs w:val="24"/>
          <w:lang w:val="en-CA"/>
        </w:rPr>
        <w:t>exceptional costs to access special facilities, shared platforms and resources, knowledge transfer meetings and workshops;</w:t>
      </w:r>
    </w:p>
    <w:p w:rsidR="0094109D" w:rsidRDefault="0094109D" w:rsidP="00CD08D0">
      <w:pPr>
        <w:numPr>
          <w:ilvl w:val="0"/>
          <w:numId w:val="12"/>
        </w:numPr>
        <w:rPr>
          <w:rFonts w:asciiTheme="minorHAnsi" w:hAnsiTheme="minorHAnsi"/>
          <w:szCs w:val="24"/>
          <w:lang w:val="en-CA"/>
        </w:rPr>
      </w:pPr>
      <w:r w:rsidRPr="0094109D">
        <w:rPr>
          <w:rFonts w:asciiTheme="minorHAnsi" w:hAnsiTheme="minorHAnsi"/>
          <w:szCs w:val="24"/>
          <w:lang w:val="en-CA"/>
        </w:rPr>
        <w:t>restarting, reassembling and safety checks of equipment and facilities;</w:t>
      </w:r>
    </w:p>
    <w:p w:rsidR="00EE7655" w:rsidRPr="00255179" w:rsidRDefault="00EE7655" w:rsidP="00EE7655">
      <w:pPr>
        <w:pStyle w:val="ListParagraph"/>
        <w:numPr>
          <w:ilvl w:val="0"/>
          <w:numId w:val="12"/>
        </w:numPr>
        <w:rPr>
          <w:rFonts w:asciiTheme="minorHAnsi" w:hAnsiTheme="minorHAnsi" w:cstheme="minorHAnsi"/>
          <w:szCs w:val="24"/>
          <w:lang w:val="en-CA"/>
        </w:rPr>
      </w:pPr>
      <w:proofErr w:type="gramStart"/>
      <w:r>
        <w:rPr>
          <w:rFonts w:asciiTheme="minorHAnsi" w:hAnsiTheme="minorHAnsi" w:cstheme="minorHAnsi"/>
        </w:rPr>
        <w:t>replacement</w:t>
      </w:r>
      <w:proofErr w:type="gramEnd"/>
      <w:r>
        <w:rPr>
          <w:rFonts w:asciiTheme="minorHAnsi" w:hAnsiTheme="minorHAnsi" w:cstheme="minorHAnsi"/>
        </w:rPr>
        <w:t xml:space="preserve"> costs for samples that could not be used during halted research period </w:t>
      </w:r>
      <w:r w:rsidR="0071055F">
        <w:rPr>
          <w:rFonts w:asciiTheme="minorHAnsi" w:hAnsiTheme="minorHAnsi" w:cstheme="minorHAnsi"/>
        </w:rPr>
        <w:t xml:space="preserve">at Baycrest, which was </w:t>
      </w:r>
      <w:r>
        <w:rPr>
          <w:rFonts w:asciiTheme="minorHAnsi" w:hAnsiTheme="minorHAnsi" w:cstheme="minorHAnsi"/>
        </w:rPr>
        <w:t>March</w:t>
      </w:r>
      <w:r w:rsidR="0071055F">
        <w:rPr>
          <w:rFonts w:asciiTheme="minorHAnsi" w:hAnsiTheme="minorHAnsi" w:cstheme="minorHAnsi"/>
        </w:rPr>
        <w:t xml:space="preserve"> 18, 2020 to September 30, 2020</w:t>
      </w:r>
      <w:r>
        <w:rPr>
          <w:rFonts w:asciiTheme="minorHAnsi" w:hAnsiTheme="minorHAnsi" w:cstheme="minorHAnsi"/>
        </w:rPr>
        <w:t>.</w:t>
      </w:r>
    </w:p>
    <w:p w:rsidR="0094109D" w:rsidRPr="0094109D" w:rsidRDefault="0094109D" w:rsidP="00CD08D0">
      <w:pPr>
        <w:numPr>
          <w:ilvl w:val="0"/>
          <w:numId w:val="12"/>
        </w:numPr>
        <w:rPr>
          <w:rFonts w:asciiTheme="minorHAnsi" w:hAnsiTheme="minorHAnsi"/>
          <w:szCs w:val="24"/>
          <w:lang w:val="en-CA"/>
        </w:rPr>
      </w:pPr>
      <w:r w:rsidRPr="0094109D">
        <w:rPr>
          <w:rFonts w:asciiTheme="minorHAnsi" w:hAnsiTheme="minorHAnsi"/>
          <w:szCs w:val="24"/>
          <w:lang w:val="en-CA"/>
        </w:rPr>
        <w:t>reacquiring lost and donated laboratory and field supplies and equipment, reagents, perishable materials, laboratory animal and other living specimens; and</w:t>
      </w:r>
    </w:p>
    <w:p w:rsidR="0094109D" w:rsidRPr="0094109D" w:rsidRDefault="0094109D" w:rsidP="00CD08D0">
      <w:pPr>
        <w:numPr>
          <w:ilvl w:val="0"/>
          <w:numId w:val="12"/>
        </w:numPr>
        <w:rPr>
          <w:rFonts w:asciiTheme="minorHAnsi" w:hAnsiTheme="minorHAnsi"/>
          <w:szCs w:val="24"/>
          <w:lang w:val="en-CA"/>
        </w:rPr>
      </w:pPr>
      <w:r w:rsidRPr="0094109D">
        <w:rPr>
          <w:rFonts w:asciiTheme="minorHAnsi" w:hAnsiTheme="minorHAnsi"/>
          <w:szCs w:val="24"/>
          <w:lang w:val="en-CA"/>
        </w:rPr>
        <w:t>personal protective equipment and related items for research-related personnel.</w:t>
      </w:r>
    </w:p>
    <w:p w:rsidR="0094109D" w:rsidRDefault="0094109D" w:rsidP="00C82C65">
      <w:pPr>
        <w:rPr>
          <w:rFonts w:asciiTheme="minorHAnsi" w:hAnsiTheme="minorHAnsi"/>
          <w:szCs w:val="24"/>
          <w:lang w:val="en-CA"/>
        </w:rPr>
      </w:pPr>
    </w:p>
    <w:p w:rsidR="00CD08D0" w:rsidRDefault="00CD08D0" w:rsidP="00CD08D0">
      <w:pPr>
        <w:rPr>
          <w:rFonts w:asciiTheme="minorHAnsi" w:hAnsiTheme="minorHAnsi"/>
          <w:b/>
          <w:szCs w:val="24"/>
          <w:lang w:val="en-CA"/>
        </w:rPr>
      </w:pPr>
      <w:r w:rsidRPr="00CD08D0">
        <w:rPr>
          <w:rFonts w:asciiTheme="minorHAnsi" w:hAnsiTheme="minorHAnsi"/>
          <w:b/>
          <w:szCs w:val="24"/>
          <w:lang w:val="en-CA"/>
        </w:rPr>
        <w:t>Salaries of research personnel</w:t>
      </w:r>
    </w:p>
    <w:p w:rsidR="00CD08D0" w:rsidRDefault="00E843F0" w:rsidP="00CD08D0">
      <w:pPr>
        <w:rPr>
          <w:rFonts w:asciiTheme="minorHAnsi" w:hAnsiTheme="minorHAnsi"/>
          <w:szCs w:val="24"/>
        </w:rPr>
      </w:pPr>
      <w:r w:rsidRPr="00E843F0">
        <w:rPr>
          <w:rFonts w:asciiTheme="minorHAnsi" w:hAnsiTheme="minorHAnsi"/>
          <w:szCs w:val="24"/>
        </w:rPr>
        <w:t xml:space="preserve">The </w:t>
      </w:r>
      <w:r w:rsidR="00CD08D0" w:rsidRPr="00CD08D0">
        <w:rPr>
          <w:rFonts w:asciiTheme="minorHAnsi" w:hAnsiTheme="minorHAnsi"/>
          <w:b/>
          <w:szCs w:val="24"/>
        </w:rPr>
        <w:t>salaries of research personnel</w:t>
      </w:r>
      <w:r w:rsidR="00CD08D0">
        <w:rPr>
          <w:rFonts w:asciiTheme="minorHAnsi" w:hAnsiTheme="minorHAnsi"/>
          <w:szCs w:val="24"/>
        </w:rPr>
        <w:t xml:space="preserve"> can be eligible for partial reimbursement up to 75% by CRCEF at Stage 3 for the period </w:t>
      </w:r>
      <w:r w:rsidR="00CD08D0" w:rsidRPr="00255179">
        <w:rPr>
          <w:rFonts w:asciiTheme="minorHAnsi" w:hAnsiTheme="minorHAnsi"/>
          <w:b/>
          <w:szCs w:val="24"/>
        </w:rPr>
        <w:t>August 30, 2020 to November 15, 2020</w:t>
      </w:r>
      <w:r w:rsidR="00CD08D0">
        <w:rPr>
          <w:rFonts w:asciiTheme="minorHAnsi" w:hAnsiTheme="minorHAnsi"/>
          <w:szCs w:val="24"/>
        </w:rPr>
        <w:t xml:space="preserve"> </w:t>
      </w:r>
      <w:r w:rsidR="00255179">
        <w:rPr>
          <w:rFonts w:asciiTheme="minorHAnsi" w:hAnsiTheme="minorHAnsi"/>
          <w:szCs w:val="24"/>
        </w:rPr>
        <w:t>if</w:t>
      </w:r>
      <w:r w:rsidR="00CD08D0">
        <w:rPr>
          <w:rFonts w:asciiTheme="minorHAnsi" w:hAnsiTheme="minorHAnsi"/>
          <w:szCs w:val="24"/>
        </w:rPr>
        <w:t xml:space="preserve"> they meet Stage 3 eligibility criteria.</w:t>
      </w:r>
    </w:p>
    <w:p w:rsidR="00ED5199" w:rsidRDefault="00ED5199">
      <w:pPr>
        <w:rPr>
          <w:rFonts w:asciiTheme="minorHAnsi" w:hAnsiTheme="minorHAnsi"/>
          <w:b/>
          <w:szCs w:val="24"/>
          <w:lang w:val="en-CA"/>
        </w:rPr>
      </w:pPr>
      <w:r>
        <w:rPr>
          <w:rFonts w:asciiTheme="minorHAnsi" w:hAnsiTheme="minorHAnsi"/>
          <w:b/>
          <w:szCs w:val="24"/>
          <w:lang w:val="en-CA"/>
        </w:rPr>
        <w:br w:type="page"/>
      </w:r>
    </w:p>
    <w:p w:rsidR="00255179" w:rsidRPr="00255179" w:rsidRDefault="00255179" w:rsidP="00255179">
      <w:pPr>
        <w:rPr>
          <w:rFonts w:asciiTheme="minorHAnsi" w:hAnsiTheme="minorHAnsi"/>
          <w:szCs w:val="24"/>
          <w:lang w:val="en-CA"/>
        </w:rPr>
      </w:pPr>
      <w:r w:rsidRPr="00255179">
        <w:rPr>
          <w:rFonts w:asciiTheme="minorHAnsi" w:hAnsiTheme="minorHAnsi"/>
          <w:b/>
          <w:bCs/>
          <w:szCs w:val="24"/>
          <w:lang w:val="en-CA"/>
        </w:rPr>
        <w:lastRenderedPageBreak/>
        <w:t>APPLICATION PROCESS</w:t>
      </w:r>
    </w:p>
    <w:p w:rsidR="00255179" w:rsidRPr="00255179" w:rsidRDefault="00255179" w:rsidP="00255179">
      <w:pPr>
        <w:rPr>
          <w:rFonts w:asciiTheme="minorHAnsi" w:hAnsiTheme="minorHAnsi"/>
          <w:szCs w:val="24"/>
          <w:lang w:val="en-CA"/>
        </w:rPr>
      </w:pPr>
    </w:p>
    <w:p w:rsidR="00255179" w:rsidRPr="00255179" w:rsidRDefault="00255179" w:rsidP="00255179">
      <w:pPr>
        <w:numPr>
          <w:ilvl w:val="0"/>
          <w:numId w:val="14"/>
        </w:numPr>
        <w:rPr>
          <w:rFonts w:asciiTheme="minorHAnsi" w:hAnsiTheme="minorHAnsi"/>
          <w:szCs w:val="24"/>
          <w:lang w:val="en-CA"/>
        </w:rPr>
      </w:pPr>
      <w:r w:rsidRPr="00255179">
        <w:rPr>
          <w:rFonts w:asciiTheme="minorHAnsi" w:hAnsiTheme="minorHAnsi"/>
          <w:szCs w:val="24"/>
          <w:lang w:val="en-CA"/>
        </w:rPr>
        <w:t xml:space="preserve">An open call to all </w:t>
      </w:r>
      <w:r>
        <w:rPr>
          <w:rFonts w:asciiTheme="minorHAnsi" w:hAnsiTheme="minorHAnsi"/>
          <w:szCs w:val="24"/>
          <w:lang w:val="en-CA"/>
        </w:rPr>
        <w:t>principal investigators and research leads of shared facilities</w:t>
      </w:r>
      <w:r w:rsidRPr="00255179">
        <w:rPr>
          <w:rFonts w:asciiTheme="minorHAnsi" w:hAnsiTheme="minorHAnsi"/>
          <w:szCs w:val="24"/>
          <w:lang w:val="en-CA"/>
        </w:rPr>
        <w:t xml:space="preserve"> to submit an application for Stage 3 CRCEF funding will be distributed </w:t>
      </w:r>
      <w:r w:rsidR="00363DAD">
        <w:rPr>
          <w:rFonts w:asciiTheme="minorHAnsi" w:hAnsiTheme="minorHAnsi"/>
          <w:szCs w:val="24"/>
          <w:lang w:val="en-CA"/>
        </w:rPr>
        <w:t>by</w:t>
      </w:r>
      <w:r w:rsidRPr="00255179">
        <w:rPr>
          <w:rFonts w:asciiTheme="minorHAnsi" w:hAnsiTheme="minorHAnsi"/>
          <w:szCs w:val="24"/>
          <w:lang w:val="en-CA"/>
        </w:rPr>
        <w:t xml:space="preserve"> email.</w:t>
      </w:r>
    </w:p>
    <w:p w:rsidR="00255179" w:rsidRPr="00255179" w:rsidRDefault="00363DAD" w:rsidP="00255179">
      <w:pPr>
        <w:numPr>
          <w:ilvl w:val="0"/>
          <w:numId w:val="14"/>
        </w:numPr>
        <w:rPr>
          <w:rFonts w:asciiTheme="minorHAnsi" w:hAnsiTheme="minorHAnsi"/>
          <w:szCs w:val="24"/>
          <w:lang w:val="en-CA"/>
        </w:rPr>
      </w:pPr>
      <w:r>
        <w:rPr>
          <w:rFonts w:asciiTheme="minorHAnsi" w:hAnsiTheme="minorHAnsi"/>
          <w:szCs w:val="24"/>
          <w:lang w:val="en-CA"/>
        </w:rPr>
        <w:t>The application form will be included with the email.</w:t>
      </w:r>
    </w:p>
    <w:p w:rsidR="00255179" w:rsidRPr="00255179" w:rsidRDefault="00255179" w:rsidP="00255179">
      <w:pPr>
        <w:numPr>
          <w:ilvl w:val="0"/>
          <w:numId w:val="14"/>
        </w:numPr>
        <w:rPr>
          <w:rFonts w:asciiTheme="minorHAnsi" w:hAnsiTheme="minorHAnsi"/>
          <w:szCs w:val="24"/>
          <w:lang w:val="en-CA"/>
        </w:rPr>
      </w:pPr>
      <w:r w:rsidRPr="00255179">
        <w:rPr>
          <w:rFonts w:asciiTheme="minorHAnsi" w:hAnsiTheme="minorHAnsi"/>
          <w:szCs w:val="24"/>
          <w:lang w:val="en-CA"/>
        </w:rPr>
        <w:t>Eligible applicants must </w:t>
      </w:r>
      <w:r w:rsidR="00363DAD">
        <w:rPr>
          <w:rFonts w:asciiTheme="minorHAnsi" w:hAnsiTheme="minorHAnsi"/>
          <w:szCs w:val="24"/>
          <w:lang w:val="en-CA"/>
        </w:rPr>
        <w:t xml:space="preserve">submit the applications to </w:t>
      </w:r>
      <w:hyperlink r:id="rId12" w:history="1">
        <w:r w:rsidR="00363DAD" w:rsidRPr="008D556B">
          <w:rPr>
            <w:rStyle w:val="Hyperlink"/>
            <w:rFonts w:asciiTheme="minorHAnsi" w:hAnsiTheme="minorHAnsi"/>
            <w:szCs w:val="24"/>
            <w:lang w:val="en-CA"/>
          </w:rPr>
          <w:t>jlazarus@baycrest.org</w:t>
        </w:r>
      </w:hyperlink>
      <w:r w:rsidR="00363DAD">
        <w:rPr>
          <w:rFonts w:asciiTheme="minorHAnsi" w:hAnsiTheme="minorHAnsi"/>
          <w:szCs w:val="24"/>
          <w:lang w:val="en-CA"/>
        </w:rPr>
        <w:t xml:space="preserve"> b</w:t>
      </w:r>
      <w:r w:rsidRPr="00255179">
        <w:rPr>
          <w:rFonts w:asciiTheme="minorHAnsi" w:hAnsiTheme="minorHAnsi"/>
          <w:szCs w:val="24"/>
          <w:lang w:val="en-CA"/>
        </w:rPr>
        <w:t xml:space="preserve">y 11:59pm on November </w:t>
      </w:r>
      <w:r w:rsidR="000819A9">
        <w:rPr>
          <w:rFonts w:asciiTheme="minorHAnsi" w:hAnsiTheme="minorHAnsi"/>
          <w:szCs w:val="24"/>
          <w:lang w:val="en-CA"/>
        </w:rPr>
        <w:t>23, 2020</w:t>
      </w:r>
      <w:r w:rsidRPr="00255179">
        <w:rPr>
          <w:rFonts w:asciiTheme="minorHAnsi" w:hAnsiTheme="minorHAnsi"/>
          <w:szCs w:val="24"/>
          <w:lang w:val="en-CA"/>
        </w:rPr>
        <w:t xml:space="preserve">. Applications can be accepted internally between </w:t>
      </w:r>
      <w:r w:rsidR="00363DAD">
        <w:rPr>
          <w:rFonts w:asciiTheme="minorHAnsi" w:hAnsiTheme="minorHAnsi"/>
          <w:szCs w:val="24"/>
          <w:lang w:val="en-CA"/>
        </w:rPr>
        <w:t>November 5</w:t>
      </w:r>
      <w:r w:rsidRPr="00255179">
        <w:rPr>
          <w:rFonts w:asciiTheme="minorHAnsi" w:hAnsiTheme="minorHAnsi"/>
          <w:szCs w:val="24"/>
          <w:lang w:val="en-CA"/>
        </w:rPr>
        <w:t xml:space="preserve"> and November </w:t>
      </w:r>
      <w:r w:rsidR="000819A9">
        <w:rPr>
          <w:rFonts w:asciiTheme="minorHAnsi" w:hAnsiTheme="minorHAnsi"/>
          <w:szCs w:val="24"/>
          <w:lang w:val="en-CA"/>
        </w:rPr>
        <w:t>23</w:t>
      </w:r>
      <w:r w:rsidRPr="00255179">
        <w:rPr>
          <w:rFonts w:asciiTheme="minorHAnsi" w:hAnsiTheme="minorHAnsi"/>
          <w:szCs w:val="24"/>
          <w:lang w:val="en-CA"/>
        </w:rPr>
        <w:t>, 2020 on a continuous basis.</w:t>
      </w:r>
    </w:p>
    <w:p w:rsidR="00255179" w:rsidRPr="00255179" w:rsidRDefault="00255179" w:rsidP="00255179">
      <w:pPr>
        <w:numPr>
          <w:ilvl w:val="0"/>
          <w:numId w:val="14"/>
        </w:numPr>
        <w:rPr>
          <w:rFonts w:asciiTheme="minorHAnsi" w:hAnsiTheme="minorHAnsi"/>
          <w:szCs w:val="24"/>
          <w:lang w:val="en-CA"/>
        </w:rPr>
      </w:pPr>
      <w:r w:rsidRPr="00255179">
        <w:rPr>
          <w:rFonts w:asciiTheme="minorHAnsi" w:hAnsiTheme="minorHAnsi"/>
          <w:szCs w:val="24"/>
          <w:lang w:val="en-CA"/>
        </w:rPr>
        <w:t xml:space="preserve">Researchers can request assistance in compiling eligible expenses </w:t>
      </w:r>
      <w:r w:rsidR="00363DAD">
        <w:rPr>
          <w:rFonts w:asciiTheme="minorHAnsi" w:hAnsiTheme="minorHAnsi"/>
          <w:szCs w:val="24"/>
          <w:lang w:val="en-CA"/>
        </w:rPr>
        <w:t>for submission by emailing hder@baycrest.org.</w:t>
      </w:r>
    </w:p>
    <w:p w:rsidR="00255179" w:rsidRPr="00255179" w:rsidRDefault="00363DAD" w:rsidP="00255179">
      <w:pPr>
        <w:numPr>
          <w:ilvl w:val="0"/>
          <w:numId w:val="14"/>
        </w:numPr>
        <w:rPr>
          <w:rFonts w:asciiTheme="minorHAnsi" w:hAnsiTheme="minorHAnsi"/>
          <w:szCs w:val="24"/>
          <w:lang w:val="en-CA"/>
        </w:rPr>
      </w:pPr>
      <w:r>
        <w:rPr>
          <w:rFonts w:asciiTheme="minorHAnsi" w:hAnsiTheme="minorHAnsi"/>
          <w:szCs w:val="24"/>
          <w:lang w:val="en-CA"/>
        </w:rPr>
        <w:t>A</w:t>
      </w:r>
      <w:r w:rsidR="00255179" w:rsidRPr="00255179">
        <w:rPr>
          <w:rFonts w:asciiTheme="minorHAnsi" w:hAnsiTheme="minorHAnsi"/>
          <w:szCs w:val="24"/>
          <w:lang w:val="en-CA"/>
        </w:rPr>
        <w:t xml:space="preserve">pplications can include actual and forecasted committed costs for March 15 to November 15, 2020, if the application is submitted prior to </w:t>
      </w:r>
      <w:r w:rsidR="000819A9">
        <w:rPr>
          <w:rFonts w:asciiTheme="minorHAnsi" w:hAnsiTheme="minorHAnsi"/>
          <w:szCs w:val="24"/>
          <w:lang w:val="en-CA"/>
        </w:rPr>
        <w:t>November 23, 2020</w:t>
      </w:r>
      <w:r w:rsidR="00255179" w:rsidRPr="00255179">
        <w:rPr>
          <w:rFonts w:asciiTheme="minorHAnsi" w:hAnsiTheme="minorHAnsi"/>
          <w:szCs w:val="24"/>
          <w:lang w:val="en-CA"/>
        </w:rPr>
        <w:t>.</w:t>
      </w:r>
    </w:p>
    <w:p w:rsidR="00255179" w:rsidRPr="00255179" w:rsidRDefault="00255179" w:rsidP="00255179">
      <w:pPr>
        <w:numPr>
          <w:ilvl w:val="0"/>
          <w:numId w:val="14"/>
        </w:numPr>
        <w:rPr>
          <w:rFonts w:asciiTheme="minorHAnsi" w:hAnsiTheme="minorHAnsi"/>
          <w:szCs w:val="24"/>
          <w:lang w:val="en-CA"/>
        </w:rPr>
      </w:pPr>
      <w:r w:rsidRPr="00255179">
        <w:rPr>
          <w:rFonts w:asciiTheme="minorHAnsi" w:hAnsiTheme="minorHAnsi"/>
          <w:szCs w:val="24"/>
          <w:lang w:val="en-CA"/>
        </w:rPr>
        <w:t xml:space="preserve">Submission of an application by a principal investigator or scientific </w:t>
      </w:r>
      <w:r w:rsidR="001D639C">
        <w:rPr>
          <w:rFonts w:asciiTheme="minorHAnsi" w:hAnsiTheme="minorHAnsi"/>
          <w:szCs w:val="24"/>
          <w:lang w:val="en-CA"/>
        </w:rPr>
        <w:t>lead</w:t>
      </w:r>
      <w:r w:rsidRPr="00255179">
        <w:rPr>
          <w:rFonts w:asciiTheme="minorHAnsi" w:hAnsiTheme="minorHAnsi"/>
          <w:szCs w:val="24"/>
          <w:lang w:val="en-CA"/>
        </w:rPr>
        <w:t xml:space="preserve"> of a shared research facility is an attestation that the application meets the eligibility criteria for Stage 3 funding.</w:t>
      </w:r>
    </w:p>
    <w:p w:rsidR="00363DAD" w:rsidRDefault="00363DAD" w:rsidP="00255179">
      <w:pPr>
        <w:rPr>
          <w:rFonts w:asciiTheme="minorHAnsi" w:hAnsiTheme="minorHAnsi"/>
          <w:szCs w:val="24"/>
          <w:lang w:val="en-CA"/>
        </w:rPr>
      </w:pPr>
    </w:p>
    <w:p w:rsidR="00255179" w:rsidRPr="00255179" w:rsidRDefault="001D639C" w:rsidP="00255179">
      <w:pPr>
        <w:rPr>
          <w:rFonts w:asciiTheme="minorHAnsi" w:hAnsiTheme="minorHAnsi"/>
          <w:szCs w:val="24"/>
          <w:lang w:val="en-CA"/>
        </w:rPr>
      </w:pPr>
      <w:r>
        <w:rPr>
          <w:rFonts w:asciiTheme="minorHAnsi" w:hAnsiTheme="minorHAnsi"/>
          <w:b/>
          <w:bCs/>
          <w:szCs w:val="24"/>
          <w:lang w:val="en-CA"/>
        </w:rPr>
        <w:t>ADMINISTRATION</w:t>
      </w:r>
    </w:p>
    <w:p w:rsidR="00255179" w:rsidRPr="00255179" w:rsidRDefault="00255179" w:rsidP="00255179">
      <w:pPr>
        <w:numPr>
          <w:ilvl w:val="0"/>
          <w:numId w:val="15"/>
        </w:numPr>
        <w:rPr>
          <w:rFonts w:asciiTheme="minorHAnsi" w:hAnsiTheme="minorHAnsi"/>
          <w:szCs w:val="24"/>
          <w:lang w:val="en-CA"/>
        </w:rPr>
      </w:pPr>
      <w:r w:rsidRPr="00255179">
        <w:rPr>
          <w:rFonts w:asciiTheme="minorHAnsi" w:hAnsiTheme="minorHAnsi"/>
          <w:szCs w:val="24"/>
          <w:lang w:val="en-CA"/>
        </w:rPr>
        <w:t xml:space="preserve">The </w:t>
      </w:r>
      <w:r w:rsidR="00363DAD">
        <w:rPr>
          <w:rFonts w:asciiTheme="minorHAnsi" w:hAnsiTheme="minorHAnsi"/>
          <w:szCs w:val="24"/>
          <w:lang w:val="en-CA"/>
        </w:rPr>
        <w:t xml:space="preserve">finance and operations team will </w:t>
      </w:r>
      <w:r w:rsidRPr="00255179">
        <w:rPr>
          <w:rFonts w:asciiTheme="minorHAnsi" w:hAnsiTheme="minorHAnsi"/>
          <w:szCs w:val="24"/>
          <w:lang w:val="en-CA"/>
        </w:rPr>
        <w:t>review applications for data accuracy and expense eligibility.</w:t>
      </w:r>
    </w:p>
    <w:p w:rsidR="00255179" w:rsidRPr="00255179" w:rsidRDefault="00255179" w:rsidP="00255179">
      <w:pPr>
        <w:numPr>
          <w:ilvl w:val="0"/>
          <w:numId w:val="15"/>
        </w:numPr>
        <w:rPr>
          <w:rFonts w:asciiTheme="minorHAnsi" w:hAnsiTheme="minorHAnsi"/>
          <w:szCs w:val="24"/>
          <w:lang w:val="en-CA"/>
        </w:rPr>
      </w:pPr>
      <w:r w:rsidRPr="00255179">
        <w:rPr>
          <w:rFonts w:asciiTheme="minorHAnsi" w:hAnsiTheme="minorHAnsi"/>
          <w:szCs w:val="24"/>
          <w:lang w:val="en-CA"/>
        </w:rPr>
        <w:t>The </w:t>
      </w:r>
      <w:r w:rsidR="001D639C">
        <w:rPr>
          <w:rFonts w:asciiTheme="minorHAnsi" w:hAnsiTheme="minorHAnsi"/>
          <w:szCs w:val="24"/>
          <w:lang w:val="en-CA"/>
        </w:rPr>
        <w:t>CRCEF Internal Allocation Committee</w:t>
      </w:r>
      <w:r w:rsidR="001D639C" w:rsidRPr="00255179">
        <w:rPr>
          <w:rFonts w:asciiTheme="minorHAnsi" w:hAnsiTheme="minorHAnsi"/>
          <w:szCs w:val="24"/>
          <w:lang w:val="en-CA"/>
        </w:rPr>
        <w:t xml:space="preserve"> </w:t>
      </w:r>
      <w:r w:rsidR="001D639C">
        <w:rPr>
          <w:rFonts w:asciiTheme="minorHAnsi" w:hAnsiTheme="minorHAnsi"/>
          <w:szCs w:val="24"/>
          <w:lang w:val="en-CA"/>
        </w:rPr>
        <w:t xml:space="preserve">will </w:t>
      </w:r>
      <w:r w:rsidR="000819A9">
        <w:rPr>
          <w:rFonts w:asciiTheme="minorHAnsi" w:hAnsiTheme="minorHAnsi"/>
          <w:szCs w:val="24"/>
          <w:lang w:val="en-CA"/>
        </w:rPr>
        <w:t xml:space="preserve">make the decisions on how the funds will be used according to the established evaluation criteria.  If the </w:t>
      </w:r>
      <w:r w:rsidRPr="00255179">
        <w:rPr>
          <w:rFonts w:asciiTheme="minorHAnsi" w:hAnsiTheme="minorHAnsi"/>
          <w:szCs w:val="24"/>
          <w:lang w:val="en-CA"/>
        </w:rPr>
        <w:t xml:space="preserve">total funding request exceed available </w:t>
      </w:r>
      <w:r w:rsidR="002F11C6" w:rsidRPr="00255179">
        <w:rPr>
          <w:rFonts w:asciiTheme="minorHAnsi" w:hAnsiTheme="minorHAnsi"/>
          <w:szCs w:val="24"/>
          <w:lang w:val="en-CA"/>
        </w:rPr>
        <w:t>funds,</w:t>
      </w:r>
      <w:r w:rsidR="000819A9">
        <w:rPr>
          <w:rFonts w:asciiTheme="minorHAnsi" w:hAnsiTheme="minorHAnsi"/>
          <w:szCs w:val="24"/>
          <w:lang w:val="en-CA"/>
        </w:rPr>
        <w:t xml:space="preserve"> the allocation will be</w:t>
      </w:r>
      <w:r w:rsidRPr="00255179">
        <w:rPr>
          <w:rFonts w:asciiTheme="minorHAnsi" w:hAnsiTheme="minorHAnsi"/>
          <w:szCs w:val="24"/>
          <w:lang w:val="en-CA"/>
        </w:rPr>
        <w:t xml:space="preserve"> consistent with </w:t>
      </w:r>
      <w:hyperlink r:id="rId13" w:anchor="EDI" w:tgtFrame="_blank" w:history="1">
        <w:r w:rsidRPr="00255179">
          <w:rPr>
            <w:rStyle w:val="Hyperlink"/>
            <w:rFonts w:asciiTheme="minorHAnsi" w:hAnsiTheme="minorHAnsi"/>
            <w:szCs w:val="24"/>
            <w:lang w:val="en-CA"/>
          </w:rPr>
          <w:t>EDI considerations and principles developed for Stages 1 and 2 of the CRCEF funding</w:t>
        </w:r>
      </w:hyperlink>
      <w:r w:rsidRPr="00255179">
        <w:rPr>
          <w:rFonts w:asciiTheme="minorHAnsi" w:hAnsiTheme="minorHAnsi"/>
          <w:szCs w:val="24"/>
          <w:lang w:val="en-CA"/>
        </w:rPr>
        <w:t>.</w:t>
      </w:r>
    </w:p>
    <w:p w:rsidR="00255179" w:rsidRPr="00255179" w:rsidRDefault="000819A9" w:rsidP="00255179">
      <w:pPr>
        <w:numPr>
          <w:ilvl w:val="0"/>
          <w:numId w:val="15"/>
        </w:numPr>
        <w:rPr>
          <w:rFonts w:asciiTheme="minorHAnsi" w:hAnsiTheme="minorHAnsi"/>
          <w:szCs w:val="24"/>
          <w:lang w:val="en-CA"/>
        </w:rPr>
      </w:pPr>
      <w:r>
        <w:rPr>
          <w:rFonts w:asciiTheme="minorHAnsi" w:hAnsiTheme="minorHAnsi"/>
          <w:szCs w:val="24"/>
          <w:lang w:val="en-CA"/>
        </w:rPr>
        <w:t xml:space="preserve">The </w:t>
      </w:r>
      <w:r w:rsidR="00363DAD">
        <w:rPr>
          <w:rFonts w:asciiTheme="minorHAnsi" w:hAnsiTheme="minorHAnsi"/>
          <w:szCs w:val="24"/>
          <w:lang w:val="en-CA"/>
        </w:rPr>
        <w:t>total funding requirements</w:t>
      </w:r>
      <w:r w:rsidR="00255179" w:rsidRPr="00255179">
        <w:rPr>
          <w:rFonts w:asciiTheme="minorHAnsi" w:hAnsiTheme="minorHAnsi"/>
          <w:szCs w:val="24"/>
          <w:lang w:val="en-CA"/>
        </w:rPr>
        <w:t xml:space="preserve"> </w:t>
      </w:r>
      <w:r>
        <w:rPr>
          <w:rFonts w:asciiTheme="minorHAnsi" w:hAnsiTheme="minorHAnsi"/>
          <w:szCs w:val="24"/>
          <w:lang w:val="en-CA"/>
        </w:rPr>
        <w:t xml:space="preserve">for the maintenance and ramp-up costs </w:t>
      </w:r>
      <w:r w:rsidR="00363DAD">
        <w:rPr>
          <w:rFonts w:asciiTheme="minorHAnsi" w:hAnsiTheme="minorHAnsi"/>
          <w:szCs w:val="24"/>
          <w:lang w:val="en-CA"/>
        </w:rPr>
        <w:t>will be submitted to the University of Toronto for their inclusion in their c</w:t>
      </w:r>
      <w:r w:rsidR="00255179" w:rsidRPr="00255179">
        <w:rPr>
          <w:rFonts w:asciiTheme="minorHAnsi" w:hAnsiTheme="minorHAnsi"/>
          <w:szCs w:val="24"/>
          <w:lang w:val="en-CA"/>
        </w:rPr>
        <w:t>onsolidated application.</w:t>
      </w:r>
    </w:p>
    <w:p w:rsidR="000819A9" w:rsidRDefault="000819A9" w:rsidP="00255179">
      <w:pPr>
        <w:rPr>
          <w:rFonts w:asciiTheme="minorHAnsi" w:hAnsiTheme="minorHAnsi"/>
          <w:szCs w:val="24"/>
          <w:lang w:val="en-CA"/>
        </w:rPr>
      </w:pPr>
    </w:p>
    <w:p w:rsidR="00ED5199" w:rsidRDefault="00ED5199" w:rsidP="00255179">
      <w:pPr>
        <w:rPr>
          <w:rFonts w:asciiTheme="minorHAnsi" w:hAnsiTheme="minorHAnsi"/>
          <w:szCs w:val="24"/>
          <w:lang w:val="en-CA"/>
        </w:rPr>
      </w:pPr>
    </w:p>
    <w:p w:rsidR="00255179" w:rsidRPr="00255179" w:rsidRDefault="0019515A" w:rsidP="00255179">
      <w:pPr>
        <w:rPr>
          <w:rFonts w:asciiTheme="minorHAnsi" w:hAnsiTheme="minorHAnsi"/>
          <w:szCs w:val="24"/>
          <w:lang w:val="en-CA"/>
        </w:rPr>
      </w:pPr>
      <w:r>
        <w:rPr>
          <w:rFonts w:asciiTheme="minorHAnsi" w:hAnsiTheme="minorHAnsi"/>
          <w:szCs w:val="24"/>
          <w:lang w:val="en-CA"/>
        </w:rPr>
        <w:pict>
          <v:rect id="_x0000_i1025" style="width:0;height:1.5pt" o:hralign="center" o:hrstd="t" o:hrnoshade="t" o:hr="t" fillcolor="#222" stroked="f"/>
        </w:pict>
      </w:r>
    </w:p>
    <w:p w:rsidR="00255179" w:rsidRPr="00255179" w:rsidRDefault="00255179" w:rsidP="00255179">
      <w:pPr>
        <w:rPr>
          <w:rFonts w:asciiTheme="minorHAnsi" w:hAnsiTheme="minorHAnsi"/>
          <w:b/>
          <w:bCs/>
          <w:szCs w:val="24"/>
          <w:lang w:val="en-CA"/>
        </w:rPr>
      </w:pPr>
      <w:bookmarkStart w:id="1" w:name="criteria"/>
      <w:bookmarkEnd w:id="1"/>
      <w:r w:rsidRPr="00255179">
        <w:rPr>
          <w:rFonts w:asciiTheme="minorHAnsi" w:hAnsiTheme="minorHAnsi"/>
          <w:b/>
          <w:bCs/>
          <w:szCs w:val="24"/>
          <w:lang w:val="en-CA"/>
        </w:rPr>
        <w:t>EVALUATION CRITERIA</w:t>
      </w:r>
    </w:p>
    <w:p w:rsidR="00255179" w:rsidRPr="00255179" w:rsidRDefault="00255179" w:rsidP="00255179">
      <w:pPr>
        <w:rPr>
          <w:rFonts w:asciiTheme="minorHAnsi" w:hAnsiTheme="minorHAnsi"/>
          <w:szCs w:val="24"/>
          <w:lang w:val="en-CA"/>
        </w:rPr>
      </w:pPr>
      <w:r w:rsidRPr="00255179">
        <w:rPr>
          <w:rFonts w:asciiTheme="minorHAnsi" w:hAnsiTheme="minorHAnsi"/>
          <w:szCs w:val="24"/>
          <w:lang w:val="en-CA"/>
        </w:rPr>
        <w:t xml:space="preserve">Submissions are accepted and considered equally </w:t>
      </w:r>
      <w:r w:rsidR="000819A9">
        <w:rPr>
          <w:rFonts w:asciiTheme="minorHAnsi" w:hAnsiTheme="minorHAnsi"/>
          <w:szCs w:val="24"/>
          <w:lang w:val="en-CA"/>
        </w:rPr>
        <w:t>Principal investigators and scientific leads of shared facilities</w:t>
      </w:r>
      <w:r w:rsidRPr="00255179">
        <w:rPr>
          <w:rFonts w:asciiTheme="minorHAnsi" w:hAnsiTheme="minorHAnsi"/>
          <w:szCs w:val="24"/>
          <w:lang w:val="en-CA"/>
        </w:rPr>
        <w:t>.</w:t>
      </w:r>
    </w:p>
    <w:p w:rsidR="00255179" w:rsidRPr="00255179" w:rsidRDefault="000819A9" w:rsidP="00255179">
      <w:pPr>
        <w:rPr>
          <w:rFonts w:asciiTheme="minorHAnsi" w:hAnsiTheme="minorHAnsi"/>
          <w:szCs w:val="24"/>
          <w:lang w:val="en-CA"/>
        </w:rPr>
      </w:pPr>
      <w:r>
        <w:rPr>
          <w:rFonts w:asciiTheme="minorHAnsi" w:hAnsiTheme="minorHAnsi"/>
          <w:szCs w:val="24"/>
          <w:lang w:val="en-CA"/>
        </w:rPr>
        <w:t>A</w:t>
      </w:r>
      <w:r w:rsidR="00255179" w:rsidRPr="00255179">
        <w:rPr>
          <w:rFonts w:asciiTheme="minorHAnsi" w:hAnsiTheme="minorHAnsi"/>
          <w:szCs w:val="24"/>
          <w:lang w:val="en-CA"/>
        </w:rPr>
        <w:t xml:space="preserve">pplications </w:t>
      </w:r>
      <w:r>
        <w:rPr>
          <w:rFonts w:asciiTheme="minorHAnsi" w:hAnsiTheme="minorHAnsi"/>
          <w:szCs w:val="24"/>
          <w:lang w:val="en-CA"/>
        </w:rPr>
        <w:t xml:space="preserve">are </w:t>
      </w:r>
      <w:r w:rsidR="00255179" w:rsidRPr="00255179">
        <w:rPr>
          <w:rFonts w:asciiTheme="minorHAnsi" w:hAnsiTheme="minorHAnsi"/>
          <w:szCs w:val="24"/>
          <w:lang w:val="en-CA"/>
        </w:rPr>
        <w:t>encourage</w:t>
      </w:r>
      <w:r>
        <w:rPr>
          <w:rFonts w:asciiTheme="minorHAnsi" w:hAnsiTheme="minorHAnsi"/>
          <w:szCs w:val="24"/>
          <w:lang w:val="en-CA"/>
        </w:rPr>
        <w:t>d</w:t>
      </w:r>
      <w:r w:rsidR="00255179" w:rsidRPr="00255179">
        <w:rPr>
          <w:rFonts w:asciiTheme="minorHAnsi" w:hAnsiTheme="minorHAnsi"/>
          <w:szCs w:val="24"/>
          <w:lang w:val="en-CA"/>
        </w:rPr>
        <w:t xml:space="preserve"> from:  </w:t>
      </w:r>
    </w:p>
    <w:p w:rsidR="00255179" w:rsidRPr="00255179" w:rsidRDefault="00255179" w:rsidP="00255179">
      <w:pPr>
        <w:numPr>
          <w:ilvl w:val="0"/>
          <w:numId w:val="16"/>
        </w:numPr>
        <w:rPr>
          <w:rFonts w:asciiTheme="minorHAnsi" w:hAnsiTheme="minorHAnsi"/>
          <w:szCs w:val="24"/>
          <w:lang w:val="en-CA"/>
        </w:rPr>
      </w:pPr>
      <w:r w:rsidRPr="00255179">
        <w:rPr>
          <w:rFonts w:asciiTheme="minorHAnsi" w:hAnsiTheme="minorHAnsi"/>
          <w:szCs w:val="24"/>
          <w:lang w:val="en-CA"/>
        </w:rPr>
        <w:t xml:space="preserve">Early-career researchers (researchers who have held a full-time independent research appointment for a period of 0-7 years, beginning with the date of first appointment at </w:t>
      </w:r>
      <w:r w:rsidR="000819A9">
        <w:rPr>
          <w:rFonts w:asciiTheme="minorHAnsi" w:hAnsiTheme="minorHAnsi"/>
          <w:szCs w:val="24"/>
          <w:lang w:val="en-CA"/>
        </w:rPr>
        <w:t>Baycrest</w:t>
      </w:r>
      <w:r w:rsidRPr="00255179">
        <w:rPr>
          <w:rFonts w:asciiTheme="minorHAnsi" w:hAnsiTheme="minorHAnsi"/>
          <w:szCs w:val="24"/>
          <w:lang w:val="en-CA"/>
        </w:rPr>
        <w:t>); and</w:t>
      </w:r>
    </w:p>
    <w:p w:rsidR="00255179" w:rsidRPr="00255179" w:rsidRDefault="00255179" w:rsidP="00255179">
      <w:pPr>
        <w:numPr>
          <w:ilvl w:val="0"/>
          <w:numId w:val="16"/>
        </w:numPr>
        <w:rPr>
          <w:rFonts w:asciiTheme="minorHAnsi" w:hAnsiTheme="minorHAnsi"/>
          <w:szCs w:val="24"/>
          <w:lang w:val="en-CA"/>
        </w:rPr>
      </w:pPr>
      <w:r w:rsidRPr="00255179">
        <w:rPr>
          <w:rFonts w:asciiTheme="minorHAnsi" w:hAnsiTheme="minorHAnsi"/>
          <w:szCs w:val="24"/>
          <w:lang w:val="en-CA"/>
        </w:rPr>
        <w:t>Researchers belonging to equity-seeking groups</w:t>
      </w:r>
    </w:p>
    <w:p w:rsidR="00255179" w:rsidRPr="00255179" w:rsidRDefault="00255179" w:rsidP="00255179">
      <w:pPr>
        <w:rPr>
          <w:rFonts w:asciiTheme="minorHAnsi" w:hAnsiTheme="minorHAnsi"/>
          <w:szCs w:val="24"/>
          <w:lang w:val="en-CA"/>
        </w:rPr>
      </w:pPr>
      <w:r w:rsidRPr="00255179">
        <w:rPr>
          <w:rFonts w:asciiTheme="minorHAnsi" w:hAnsiTheme="minorHAnsi"/>
          <w:szCs w:val="24"/>
          <w:lang w:val="en-CA"/>
        </w:rPr>
        <w:t xml:space="preserve">In the event that funding requests for Stage 3 are higher than the allocated funding, special consideration will be given to researchers known to be most impacted by COVID-19. This includes early-career researchers, researchers belonging to equity-seeking groups and researchers who were personally impacted by COVID-19 and/or have special needs </w:t>
      </w:r>
      <w:r w:rsidR="002F11C6" w:rsidRPr="00255179">
        <w:rPr>
          <w:rFonts w:asciiTheme="minorHAnsi" w:hAnsiTheme="minorHAnsi"/>
          <w:szCs w:val="24"/>
          <w:lang w:val="en-CA"/>
        </w:rPr>
        <w:t>concerning</w:t>
      </w:r>
      <w:r w:rsidRPr="00255179">
        <w:rPr>
          <w:rFonts w:asciiTheme="minorHAnsi" w:hAnsiTheme="minorHAnsi"/>
          <w:szCs w:val="24"/>
          <w:lang w:val="en-CA"/>
        </w:rPr>
        <w:t xml:space="preserve"> child/family care.</w:t>
      </w:r>
    </w:p>
    <w:p w:rsidR="00255179" w:rsidRPr="00255179" w:rsidRDefault="00255179" w:rsidP="00255179">
      <w:pPr>
        <w:rPr>
          <w:rFonts w:asciiTheme="minorHAnsi" w:hAnsiTheme="minorHAnsi"/>
          <w:szCs w:val="24"/>
          <w:lang w:val="en-CA"/>
        </w:rPr>
      </w:pPr>
      <w:r w:rsidRPr="00255179">
        <w:rPr>
          <w:rFonts w:asciiTheme="minorHAnsi" w:hAnsiTheme="minorHAnsi"/>
          <w:szCs w:val="24"/>
          <w:lang w:val="en-CA"/>
        </w:rPr>
        <w:t>The CRCEF Steering committee may consider additional evaluation criteria, which could include the following:</w:t>
      </w:r>
    </w:p>
    <w:p w:rsidR="00255179" w:rsidRPr="00255179" w:rsidRDefault="00255179" w:rsidP="00255179">
      <w:pPr>
        <w:numPr>
          <w:ilvl w:val="0"/>
          <w:numId w:val="17"/>
        </w:numPr>
        <w:rPr>
          <w:rFonts w:asciiTheme="minorHAnsi" w:hAnsiTheme="minorHAnsi"/>
          <w:szCs w:val="24"/>
          <w:lang w:val="en-CA"/>
        </w:rPr>
      </w:pPr>
      <w:r w:rsidRPr="00255179">
        <w:rPr>
          <w:rFonts w:asciiTheme="minorHAnsi" w:hAnsiTheme="minorHAnsi"/>
          <w:szCs w:val="24"/>
          <w:lang w:val="en-CA"/>
        </w:rPr>
        <w:t>pro-rating requests according to funding allocation</w:t>
      </w:r>
      <w:r w:rsidR="00EE7655">
        <w:rPr>
          <w:rFonts w:asciiTheme="minorHAnsi" w:hAnsiTheme="minorHAnsi"/>
          <w:szCs w:val="24"/>
          <w:lang w:val="en-CA"/>
        </w:rPr>
        <w:t xml:space="preserve"> to allow for a maximum amount for each project</w:t>
      </w:r>
      <w:r w:rsidRPr="00255179">
        <w:rPr>
          <w:rFonts w:asciiTheme="minorHAnsi" w:hAnsiTheme="minorHAnsi"/>
          <w:szCs w:val="24"/>
          <w:lang w:val="en-CA"/>
        </w:rPr>
        <w:t>;</w:t>
      </w:r>
    </w:p>
    <w:p w:rsidR="00255179" w:rsidRPr="00255179" w:rsidRDefault="00255179" w:rsidP="00255179">
      <w:pPr>
        <w:numPr>
          <w:ilvl w:val="0"/>
          <w:numId w:val="17"/>
        </w:numPr>
        <w:rPr>
          <w:rFonts w:asciiTheme="minorHAnsi" w:hAnsiTheme="minorHAnsi"/>
          <w:szCs w:val="24"/>
          <w:lang w:val="en-CA"/>
        </w:rPr>
      </w:pPr>
      <w:r w:rsidRPr="00255179">
        <w:rPr>
          <w:rFonts w:asciiTheme="minorHAnsi" w:hAnsiTheme="minorHAnsi"/>
          <w:szCs w:val="24"/>
          <w:lang w:val="en-CA"/>
        </w:rPr>
        <w:t>a minimum incremental cost for a project to be considered for the funding;</w:t>
      </w:r>
    </w:p>
    <w:p w:rsidR="00255179" w:rsidRPr="00255179" w:rsidRDefault="00255179" w:rsidP="00255179">
      <w:pPr>
        <w:numPr>
          <w:ilvl w:val="0"/>
          <w:numId w:val="17"/>
        </w:numPr>
        <w:rPr>
          <w:rFonts w:asciiTheme="minorHAnsi" w:hAnsiTheme="minorHAnsi"/>
          <w:szCs w:val="24"/>
          <w:lang w:val="en-CA"/>
        </w:rPr>
      </w:pPr>
      <w:r w:rsidRPr="00255179">
        <w:rPr>
          <w:rFonts w:asciiTheme="minorHAnsi" w:hAnsiTheme="minorHAnsi"/>
          <w:szCs w:val="24"/>
          <w:lang w:val="en-CA"/>
        </w:rPr>
        <w:lastRenderedPageBreak/>
        <w:t>the financial impact of the COVID-19 pandemic on the grant’s budget exceeding a certain percentage of the annual grant value;</w:t>
      </w:r>
    </w:p>
    <w:p w:rsidR="00255179" w:rsidRPr="00255179" w:rsidRDefault="00255179" w:rsidP="00255179">
      <w:pPr>
        <w:numPr>
          <w:ilvl w:val="0"/>
          <w:numId w:val="17"/>
        </w:numPr>
        <w:rPr>
          <w:rFonts w:asciiTheme="minorHAnsi" w:hAnsiTheme="minorHAnsi"/>
          <w:szCs w:val="24"/>
          <w:lang w:val="en-CA"/>
        </w:rPr>
      </w:pPr>
      <w:r w:rsidRPr="00255179">
        <w:rPr>
          <w:rFonts w:asciiTheme="minorHAnsi" w:hAnsiTheme="minorHAnsi"/>
          <w:szCs w:val="24"/>
          <w:lang w:val="en-CA"/>
        </w:rPr>
        <w:t>priority given to projects that are at the beginning or in the middle of their terms, versus those that are close to their grant end date; and</w:t>
      </w:r>
    </w:p>
    <w:p w:rsidR="00EE7655" w:rsidRDefault="00255179" w:rsidP="00EE7655">
      <w:pPr>
        <w:numPr>
          <w:ilvl w:val="0"/>
          <w:numId w:val="17"/>
        </w:numPr>
        <w:rPr>
          <w:rFonts w:asciiTheme="minorHAnsi" w:hAnsiTheme="minorHAnsi"/>
          <w:szCs w:val="24"/>
          <w:lang w:val="en-CA"/>
        </w:rPr>
      </w:pPr>
      <w:r w:rsidRPr="00255179">
        <w:rPr>
          <w:rFonts w:asciiTheme="minorHAnsi" w:hAnsiTheme="minorHAnsi"/>
          <w:szCs w:val="24"/>
          <w:lang w:val="en-CA"/>
        </w:rPr>
        <w:t>non-eligibility of projects with considerable financial balances at the end of the fiscal year (March 31, 2020).</w:t>
      </w:r>
    </w:p>
    <w:p w:rsidR="00EE7655" w:rsidRDefault="00EE7655" w:rsidP="00EE7655">
      <w:pPr>
        <w:rPr>
          <w:rFonts w:asciiTheme="minorHAnsi" w:hAnsiTheme="minorHAnsi"/>
          <w:szCs w:val="24"/>
          <w:lang w:val="en-CA"/>
        </w:rPr>
      </w:pPr>
    </w:p>
    <w:p w:rsidR="00EE7655" w:rsidRPr="00CD08D0" w:rsidRDefault="00EE7655" w:rsidP="00EE7655">
      <w:pPr>
        <w:rPr>
          <w:rFonts w:asciiTheme="minorHAnsi" w:hAnsiTheme="minorHAnsi"/>
          <w:b/>
          <w:szCs w:val="24"/>
          <w:lang w:val="en-CA"/>
        </w:rPr>
      </w:pPr>
      <w:r>
        <w:rPr>
          <w:rFonts w:asciiTheme="minorHAnsi" w:hAnsiTheme="minorHAnsi"/>
          <w:b/>
          <w:szCs w:val="24"/>
          <w:lang w:val="en-CA"/>
        </w:rPr>
        <w:t>The following will also be taken into consideration:</w:t>
      </w:r>
    </w:p>
    <w:p w:rsidR="00EE7655" w:rsidRPr="00E843F0" w:rsidRDefault="00EE7655" w:rsidP="00EE7655">
      <w:pPr>
        <w:pStyle w:val="ListParagraph"/>
        <w:numPr>
          <w:ilvl w:val="0"/>
          <w:numId w:val="10"/>
        </w:numPr>
        <w:rPr>
          <w:rFonts w:asciiTheme="minorHAnsi" w:hAnsiTheme="minorHAnsi"/>
          <w:szCs w:val="24"/>
          <w:lang w:val="en-CA"/>
        </w:rPr>
      </w:pPr>
      <w:r w:rsidRPr="00E843F0">
        <w:rPr>
          <w:rFonts w:asciiTheme="minorHAnsi" w:hAnsiTheme="minorHAnsi"/>
          <w:szCs w:val="24"/>
          <w:lang w:val="en-CA"/>
        </w:rPr>
        <w:t>Tri-agency projects that have been extended in time only are eligible to Stage 3.</w:t>
      </w:r>
    </w:p>
    <w:p w:rsidR="00EE7655" w:rsidRPr="00E843F0" w:rsidRDefault="00EE7655" w:rsidP="00EE7655">
      <w:pPr>
        <w:pStyle w:val="ListParagraph"/>
        <w:numPr>
          <w:ilvl w:val="0"/>
          <w:numId w:val="10"/>
        </w:numPr>
        <w:rPr>
          <w:rFonts w:asciiTheme="minorHAnsi" w:hAnsiTheme="minorHAnsi"/>
          <w:szCs w:val="24"/>
          <w:lang w:val="en-CA"/>
        </w:rPr>
      </w:pPr>
      <w:r w:rsidRPr="00E843F0">
        <w:rPr>
          <w:rFonts w:asciiTheme="minorHAnsi" w:hAnsiTheme="minorHAnsi"/>
          <w:szCs w:val="24"/>
          <w:lang w:val="en-CA"/>
        </w:rPr>
        <w:t>Tri-agency projects that have been extended with funding for salary support (support announced on April 22, 2020) are eligible to Stage 3, but a same salary cannot be supported by the two measures for a same period</w:t>
      </w:r>
    </w:p>
    <w:p w:rsidR="00EE7655" w:rsidRDefault="00EE7655" w:rsidP="00EE7655">
      <w:pPr>
        <w:rPr>
          <w:rFonts w:asciiTheme="minorHAnsi" w:hAnsiTheme="minorHAnsi"/>
          <w:szCs w:val="24"/>
          <w:lang w:val="en-CA"/>
        </w:rPr>
      </w:pPr>
    </w:p>
    <w:p w:rsidR="00EE7655" w:rsidRPr="00EE7655" w:rsidRDefault="00EE7655" w:rsidP="00EE7655">
      <w:pPr>
        <w:rPr>
          <w:rFonts w:asciiTheme="minorHAnsi" w:hAnsiTheme="minorHAnsi"/>
          <w:szCs w:val="24"/>
          <w:lang w:val="en-CA"/>
        </w:rPr>
      </w:pPr>
    </w:p>
    <w:p w:rsidR="00255179" w:rsidRPr="00255179" w:rsidRDefault="0019515A" w:rsidP="00255179">
      <w:pPr>
        <w:rPr>
          <w:rFonts w:asciiTheme="minorHAnsi" w:hAnsiTheme="minorHAnsi"/>
          <w:szCs w:val="24"/>
          <w:lang w:val="en-CA"/>
        </w:rPr>
      </w:pPr>
      <w:r>
        <w:rPr>
          <w:rFonts w:asciiTheme="minorHAnsi" w:hAnsiTheme="minorHAnsi"/>
          <w:szCs w:val="24"/>
          <w:lang w:val="en-CA"/>
        </w:rPr>
        <w:pict>
          <v:rect id="_x0000_i1026" style="width:0;height:1.5pt" o:hralign="center" o:hrstd="t" o:hrnoshade="t" o:hr="t" fillcolor="#222" stroked="f"/>
        </w:pict>
      </w:r>
    </w:p>
    <w:p w:rsidR="000819A9" w:rsidRDefault="000819A9" w:rsidP="00255179">
      <w:pPr>
        <w:rPr>
          <w:rFonts w:asciiTheme="minorHAnsi" w:hAnsiTheme="minorHAnsi"/>
          <w:b/>
          <w:bCs/>
          <w:szCs w:val="24"/>
          <w:lang w:val="en-CA"/>
        </w:rPr>
      </w:pPr>
    </w:p>
    <w:p w:rsidR="00255179" w:rsidRPr="00255179" w:rsidRDefault="00255179" w:rsidP="00255179">
      <w:pPr>
        <w:rPr>
          <w:rFonts w:asciiTheme="minorHAnsi" w:hAnsiTheme="minorHAnsi"/>
          <w:b/>
          <w:bCs/>
          <w:szCs w:val="24"/>
          <w:lang w:val="en-CA"/>
        </w:rPr>
      </w:pPr>
      <w:r w:rsidRPr="00255179">
        <w:rPr>
          <w:rFonts w:asciiTheme="minorHAnsi" w:hAnsiTheme="minorHAnsi"/>
          <w:b/>
          <w:bCs/>
          <w:szCs w:val="24"/>
          <w:lang w:val="en-CA"/>
        </w:rPr>
        <w:t>HOW WILL THE FUNDS BE TRANSFERRED TO AN INVESTIGATOR?</w:t>
      </w:r>
    </w:p>
    <w:p w:rsidR="00255179" w:rsidRPr="00255179" w:rsidRDefault="00255179" w:rsidP="00255179">
      <w:pPr>
        <w:rPr>
          <w:rFonts w:asciiTheme="minorHAnsi" w:hAnsiTheme="minorHAnsi"/>
          <w:szCs w:val="24"/>
          <w:lang w:val="en-CA"/>
        </w:rPr>
      </w:pPr>
      <w:r w:rsidRPr="00255179">
        <w:rPr>
          <w:rFonts w:asciiTheme="minorHAnsi" w:hAnsiTheme="minorHAnsi"/>
          <w:szCs w:val="24"/>
          <w:lang w:val="en-CA"/>
        </w:rPr>
        <w:t>The CRCEF working group will communicate funding decisions and coordinate the transfer of funds to UBC research grants and to the health affiliates, currently anticipated to be in February 2021.</w:t>
      </w:r>
    </w:p>
    <w:p w:rsidR="00255179" w:rsidRDefault="00255179" w:rsidP="00C82C65">
      <w:pPr>
        <w:rPr>
          <w:rFonts w:asciiTheme="minorHAnsi" w:hAnsiTheme="minorHAnsi"/>
          <w:szCs w:val="24"/>
          <w:lang w:val="en-CA"/>
        </w:rPr>
      </w:pPr>
    </w:p>
    <w:p w:rsidR="00255179" w:rsidRDefault="00255179" w:rsidP="00C82C65">
      <w:pPr>
        <w:rPr>
          <w:rFonts w:asciiTheme="minorHAnsi" w:hAnsiTheme="minorHAnsi"/>
          <w:szCs w:val="24"/>
          <w:lang w:val="en-CA"/>
        </w:rPr>
      </w:pPr>
    </w:p>
    <w:sectPr w:rsidR="00255179" w:rsidSect="00E87834">
      <w:headerReference w:type="even" r:id="rId14"/>
      <w:headerReference w:type="default" r:id="rId15"/>
      <w:pgSz w:w="12240" w:h="15840"/>
      <w:pgMar w:top="720" w:right="1080" w:bottom="72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7E0" w:rsidRDefault="006277E0">
      <w:r>
        <w:separator/>
      </w:r>
    </w:p>
  </w:endnote>
  <w:endnote w:type="continuationSeparator" w:id="0">
    <w:p w:rsidR="006277E0" w:rsidRDefault="0062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7E0" w:rsidRDefault="006277E0">
      <w:r>
        <w:separator/>
      </w:r>
    </w:p>
  </w:footnote>
  <w:footnote w:type="continuationSeparator" w:id="0">
    <w:p w:rsidR="006277E0" w:rsidRDefault="0062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7E0" w:rsidRDefault="006277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277E0" w:rsidRDefault="006277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7E0" w:rsidRDefault="006277E0">
    <w:pPr>
      <w:pStyle w:val="Header"/>
    </w:pPr>
    <w:r>
      <w:rPr>
        <w:noProof/>
        <w:lang w:val="en-CA" w:eastAsia="en-CA"/>
      </w:rPr>
      <w:drawing>
        <wp:inline distT="0" distB="0" distL="0" distR="0" wp14:anchorId="50E1BE77" wp14:editId="7F54B870">
          <wp:extent cx="1371600" cy="543560"/>
          <wp:effectExtent l="0" t="0" r="0" b="8890"/>
          <wp:docPr id="1" name="Picture 3" descr="Description: http://intranet3/BaycrestWork/Tools_and_Resources/Baycrest_Branding/images/COLORlogo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intranet3/BaycrestWork/Tools_and_Resources/Baycrest_Branding/images/COLORlogo_SMAL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43560"/>
                  </a:xfrm>
                  <a:prstGeom prst="rect">
                    <a:avLst/>
                  </a:prstGeom>
                  <a:noFill/>
                  <a:ln>
                    <a:noFill/>
                  </a:ln>
                </pic:spPr>
              </pic:pic>
            </a:graphicData>
          </a:graphic>
        </wp:inline>
      </w:drawing>
    </w:r>
  </w:p>
  <w:p w:rsidR="006277E0" w:rsidRDefault="00627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479"/>
    <w:multiLevelType w:val="hybridMultilevel"/>
    <w:tmpl w:val="3F76E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F54E72"/>
    <w:multiLevelType w:val="multilevel"/>
    <w:tmpl w:val="3ED02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F25F5"/>
    <w:multiLevelType w:val="multilevel"/>
    <w:tmpl w:val="B050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1697B"/>
    <w:multiLevelType w:val="multilevel"/>
    <w:tmpl w:val="D81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1964"/>
    <w:multiLevelType w:val="hybridMultilevel"/>
    <w:tmpl w:val="8B9E98A0"/>
    <w:lvl w:ilvl="0" w:tplc="B80EA1F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B0172"/>
    <w:multiLevelType w:val="multilevel"/>
    <w:tmpl w:val="D812C7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BE1806"/>
    <w:multiLevelType w:val="hybridMultilevel"/>
    <w:tmpl w:val="C17E98BE"/>
    <w:lvl w:ilvl="0" w:tplc="B80EA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704EF"/>
    <w:multiLevelType w:val="hybridMultilevel"/>
    <w:tmpl w:val="B7E68E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3D7593F"/>
    <w:multiLevelType w:val="hybridMultilevel"/>
    <w:tmpl w:val="F62460D4"/>
    <w:lvl w:ilvl="0" w:tplc="03123552">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12513C"/>
    <w:multiLevelType w:val="hybridMultilevel"/>
    <w:tmpl w:val="20F605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89080B"/>
    <w:multiLevelType w:val="multilevel"/>
    <w:tmpl w:val="6BA63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1C091C"/>
    <w:multiLevelType w:val="multilevel"/>
    <w:tmpl w:val="3E8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F68C1"/>
    <w:multiLevelType w:val="singleLevel"/>
    <w:tmpl w:val="10D65C8A"/>
    <w:lvl w:ilvl="0">
      <w:start w:val="1"/>
      <w:numFmt w:val="decimal"/>
      <w:lvlText w:val="%1."/>
      <w:lvlJc w:val="left"/>
      <w:pPr>
        <w:tabs>
          <w:tab w:val="num" w:pos="720"/>
        </w:tabs>
        <w:ind w:left="720" w:hanging="720"/>
      </w:pPr>
      <w:rPr>
        <w:rFonts w:hint="default"/>
      </w:rPr>
    </w:lvl>
  </w:abstractNum>
  <w:abstractNum w:abstractNumId="13" w15:restartNumberingAfterBreak="0">
    <w:nsid w:val="5931000F"/>
    <w:multiLevelType w:val="multilevel"/>
    <w:tmpl w:val="EB1E7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547EE"/>
    <w:multiLevelType w:val="singleLevel"/>
    <w:tmpl w:val="95DA50BC"/>
    <w:lvl w:ilvl="0">
      <w:start w:val="1"/>
      <w:numFmt w:val="decimal"/>
      <w:lvlText w:val="%1."/>
      <w:lvlJc w:val="left"/>
      <w:pPr>
        <w:tabs>
          <w:tab w:val="num" w:pos="720"/>
        </w:tabs>
        <w:ind w:left="720" w:hanging="720"/>
      </w:pPr>
      <w:rPr>
        <w:rFonts w:hint="default"/>
      </w:rPr>
    </w:lvl>
  </w:abstractNum>
  <w:abstractNum w:abstractNumId="15" w15:restartNumberingAfterBreak="0">
    <w:nsid w:val="6AC84675"/>
    <w:multiLevelType w:val="multilevel"/>
    <w:tmpl w:val="D812C7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AA567D4"/>
    <w:multiLevelType w:val="multilevel"/>
    <w:tmpl w:val="0FFC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0"/>
  </w:num>
  <w:num w:numId="4">
    <w:abstractNumId w:val="8"/>
  </w:num>
  <w:num w:numId="5">
    <w:abstractNumId w:val="9"/>
  </w:num>
  <w:num w:numId="6">
    <w:abstractNumId w:val="4"/>
  </w:num>
  <w:num w:numId="7">
    <w:abstractNumId w:val="6"/>
  </w:num>
  <w:num w:numId="8">
    <w:abstractNumId w:val="16"/>
  </w:num>
  <w:num w:numId="9">
    <w:abstractNumId w:val="11"/>
  </w:num>
  <w:num w:numId="10">
    <w:abstractNumId w:val="3"/>
  </w:num>
  <w:num w:numId="11">
    <w:abstractNumId w:val="15"/>
  </w:num>
  <w:num w:numId="12">
    <w:abstractNumId w:val="5"/>
  </w:num>
  <w:num w:numId="13">
    <w:abstractNumId w:val="7"/>
  </w:num>
  <w:num w:numId="14">
    <w:abstractNumId w:val="2"/>
  </w:num>
  <w:num w:numId="15">
    <w:abstractNumId w:val="1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7C"/>
    <w:rsid w:val="00074ACE"/>
    <w:rsid w:val="000819A9"/>
    <w:rsid w:val="00094181"/>
    <w:rsid w:val="000A4F95"/>
    <w:rsid w:val="000B69DC"/>
    <w:rsid w:val="00135E6D"/>
    <w:rsid w:val="00140A2E"/>
    <w:rsid w:val="001810AA"/>
    <w:rsid w:val="0019515A"/>
    <w:rsid w:val="001D639C"/>
    <w:rsid w:val="00255179"/>
    <w:rsid w:val="002B302E"/>
    <w:rsid w:val="002B5E7C"/>
    <w:rsid w:val="002C15DC"/>
    <w:rsid w:val="002E4CBF"/>
    <w:rsid w:val="002F11C6"/>
    <w:rsid w:val="0034263B"/>
    <w:rsid w:val="00363DAD"/>
    <w:rsid w:val="003800F3"/>
    <w:rsid w:val="003D2E7B"/>
    <w:rsid w:val="00406BEC"/>
    <w:rsid w:val="0042280D"/>
    <w:rsid w:val="0049275F"/>
    <w:rsid w:val="00495585"/>
    <w:rsid w:val="004E508A"/>
    <w:rsid w:val="00552D0B"/>
    <w:rsid w:val="005C1125"/>
    <w:rsid w:val="005F5F3D"/>
    <w:rsid w:val="006222AB"/>
    <w:rsid w:val="006277E0"/>
    <w:rsid w:val="006A3970"/>
    <w:rsid w:val="00702E54"/>
    <w:rsid w:val="0071055F"/>
    <w:rsid w:val="00751AA7"/>
    <w:rsid w:val="00755DE3"/>
    <w:rsid w:val="007B388D"/>
    <w:rsid w:val="00824E37"/>
    <w:rsid w:val="00830564"/>
    <w:rsid w:val="00843445"/>
    <w:rsid w:val="0084717B"/>
    <w:rsid w:val="008572E0"/>
    <w:rsid w:val="00880A7C"/>
    <w:rsid w:val="00881AC8"/>
    <w:rsid w:val="008B1A69"/>
    <w:rsid w:val="008C0FB5"/>
    <w:rsid w:val="008D446B"/>
    <w:rsid w:val="00930BE9"/>
    <w:rsid w:val="0094109D"/>
    <w:rsid w:val="00943F21"/>
    <w:rsid w:val="00944CF9"/>
    <w:rsid w:val="00982A9B"/>
    <w:rsid w:val="00983AAE"/>
    <w:rsid w:val="009A0BB3"/>
    <w:rsid w:val="009B2312"/>
    <w:rsid w:val="00B102A8"/>
    <w:rsid w:val="00B67F23"/>
    <w:rsid w:val="00B818BA"/>
    <w:rsid w:val="00BD228C"/>
    <w:rsid w:val="00BD5592"/>
    <w:rsid w:val="00C024EB"/>
    <w:rsid w:val="00C82C65"/>
    <w:rsid w:val="00C966C5"/>
    <w:rsid w:val="00CA6FC3"/>
    <w:rsid w:val="00CB2F78"/>
    <w:rsid w:val="00CD08D0"/>
    <w:rsid w:val="00CF55E3"/>
    <w:rsid w:val="00D04B2A"/>
    <w:rsid w:val="00D9590C"/>
    <w:rsid w:val="00DA7244"/>
    <w:rsid w:val="00DC7FAC"/>
    <w:rsid w:val="00DD4749"/>
    <w:rsid w:val="00E52A02"/>
    <w:rsid w:val="00E56D7D"/>
    <w:rsid w:val="00E65C26"/>
    <w:rsid w:val="00E843F0"/>
    <w:rsid w:val="00E87834"/>
    <w:rsid w:val="00EA7A26"/>
    <w:rsid w:val="00ED5199"/>
    <w:rsid w:val="00EE7655"/>
    <w:rsid w:val="00F84D03"/>
    <w:rsid w:val="00FC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00F368"/>
  <w15:docId w15:val="{951C5B1C-5F51-4388-B1E3-86EC8248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b/>
      <w:smallCaps/>
    </w:rPr>
  </w:style>
  <w:style w:type="paragraph" w:styleId="Heading4">
    <w:name w:val="heading 4"/>
    <w:basedOn w:val="Normal"/>
    <w:next w:val="Normal"/>
    <w:link w:val="Heading4Char"/>
    <w:uiPriority w:val="9"/>
    <w:semiHidden/>
    <w:unhideWhenUsed/>
    <w:qFormat/>
    <w:rsid w:val="0025517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517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center"/>
    </w:pPr>
    <w:rPr>
      <w:b/>
    </w:rPr>
  </w:style>
  <w:style w:type="paragraph" w:styleId="Title">
    <w:name w:val="Title"/>
    <w:basedOn w:val="Normal"/>
    <w:qFormat/>
    <w:pPr>
      <w:jc w:val="center"/>
    </w:pPr>
    <w:rPr>
      <w:b/>
      <w:smallCaps/>
    </w:rPr>
  </w:style>
  <w:style w:type="character" w:customStyle="1" w:styleId="HeaderChar">
    <w:name w:val="Header Char"/>
    <w:basedOn w:val="DefaultParagraphFont"/>
    <w:link w:val="Header"/>
    <w:uiPriority w:val="99"/>
    <w:rsid w:val="00EA7A26"/>
    <w:rPr>
      <w:sz w:val="24"/>
    </w:rPr>
  </w:style>
  <w:style w:type="paragraph" w:styleId="BalloonText">
    <w:name w:val="Balloon Text"/>
    <w:basedOn w:val="Normal"/>
    <w:link w:val="BalloonTextChar"/>
    <w:uiPriority w:val="99"/>
    <w:semiHidden/>
    <w:unhideWhenUsed/>
    <w:rsid w:val="00EA7A26"/>
    <w:rPr>
      <w:rFonts w:ascii="Tahoma" w:hAnsi="Tahoma" w:cs="Tahoma"/>
      <w:sz w:val="16"/>
      <w:szCs w:val="16"/>
    </w:rPr>
  </w:style>
  <w:style w:type="character" w:customStyle="1" w:styleId="BalloonTextChar">
    <w:name w:val="Balloon Text Char"/>
    <w:basedOn w:val="DefaultParagraphFont"/>
    <w:link w:val="BalloonText"/>
    <w:uiPriority w:val="99"/>
    <w:semiHidden/>
    <w:rsid w:val="00EA7A26"/>
    <w:rPr>
      <w:rFonts w:ascii="Tahoma" w:hAnsi="Tahoma" w:cs="Tahoma"/>
      <w:sz w:val="16"/>
      <w:szCs w:val="16"/>
    </w:rPr>
  </w:style>
  <w:style w:type="paragraph" w:styleId="ListParagraph">
    <w:name w:val="List Paragraph"/>
    <w:aliases w:val="Table Paragraph,Dot pt,Liste 1,List Paragraph1,Numbered list,Recommendation,List Paragraph11,L,List Paragraph2,CV text,Table text,F5 List Paragraph,List Paragraph111,Medium Grid 1 - Accent 21,Numbered Paragraph,Bullet text,Bullet 1,3"/>
    <w:basedOn w:val="Normal"/>
    <w:link w:val="ListParagraphChar"/>
    <w:uiPriority w:val="34"/>
    <w:qFormat/>
    <w:rsid w:val="00495585"/>
    <w:pPr>
      <w:ind w:left="720"/>
      <w:contextualSpacing/>
    </w:pPr>
  </w:style>
  <w:style w:type="paragraph" w:styleId="NoSpacing">
    <w:name w:val="No Spacing"/>
    <w:basedOn w:val="Normal"/>
    <w:uiPriority w:val="1"/>
    <w:qFormat/>
    <w:rsid w:val="00751AA7"/>
    <w:rPr>
      <w:rFonts w:ascii="Calibri" w:eastAsiaTheme="minorHAnsi" w:hAnsi="Calibri" w:cs="Calibri"/>
      <w:sz w:val="22"/>
      <w:szCs w:val="22"/>
      <w:lang w:val="en-CA" w:eastAsia="en-CA"/>
    </w:rPr>
  </w:style>
  <w:style w:type="character" w:customStyle="1" w:styleId="ListParagraphChar">
    <w:name w:val="List Paragraph Char"/>
    <w:aliases w:val="Table Paragraph Char,Dot pt Char,Liste 1 Char,List Paragraph1 Char,Numbered list Char,Recommendation Char,List Paragraph11 Char,L Char,List Paragraph2 Char,CV text Char,Table text Char,F5 List Paragraph Char,List Paragraph111 Char"/>
    <w:basedOn w:val="DefaultParagraphFont"/>
    <w:link w:val="ListParagraph"/>
    <w:uiPriority w:val="34"/>
    <w:locked/>
    <w:rsid w:val="00751AA7"/>
    <w:rPr>
      <w:sz w:val="24"/>
    </w:rPr>
  </w:style>
  <w:style w:type="character" w:styleId="Hyperlink">
    <w:name w:val="Hyperlink"/>
    <w:basedOn w:val="DefaultParagraphFont"/>
    <w:uiPriority w:val="99"/>
    <w:unhideWhenUsed/>
    <w:rsid w:val="00CA6FC3"/>
    <w:rPr>
      <w:color w:val="0000FF" w:themeColor="hyperlink"/>
      <w:u w:val="single"/>
    </w:rPr>
  </w:style>
  <w:style w:type="character" w:customStyle="1" w:styleId="nowrap">
    <w:name w:val="nowrap"/>
    <w:basedOn w:val="DefaultParagraphFont"/>
    <w:rsid w:val="0094109D"/>
  </w:style>
  <w:style w:type="character" w:customStyle="1" w:styleId="Heading4Char">
    <w:name w:val="Heading 4 Char"/>
    <w:basedOn w:val="DefaultParagraphFont"/>
    <w:link w:val="Heading4"/>
    <w:uiPriority w:val="9"/>
    <w:semiHidden/>
    <w:rsid w:val="00255179"/>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255179"/>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67932">
      <w:bodyDiv w:val="1"/>
      <w:marLeft w:val="0"/>
      <w:marRight w:val="0"/>
      <w:marTop w:val="0"/>
      <w:marBottom w:val="0"/>
      <w:divBdr>
        <w:top w:val="none" w:sz="0" w:space="0" w:color="auto"/>
        <w:left w:val="none" w:sz="0" w:space="0" w:color="auto"/>
        <w:bottom w:val="none" w:sz="0" w:space="0" w:color="auto"/>
        <w:right w:val="none" w:sz="0" w:space="0" w:color="auto"/>
      </w:divBdr>
    </w:div>
    <w:div w:id="398215982">
      <w:bodyDiv w:val="1"/>
      <w:marLeft w:val="0"/>
      <w:marRight w:val="0"/>
      <w:marTop w:val="0"/>
      <w:marBottom w:val="0"/>
      <w:divBdr>
        <w:top w:val="none" w:sz="0" w:space="0" w:color="auto"/>
        <w:left w:val="none" w:sz="0" w:space="0" w:color="auto"/>
        <w:bottom w:val="none" w:sz="0" w:space="0" w:color="auto"/>
        <w:right w:val="none" w:sz="0" w:space="0" w:color="auto"/>
      </w:divBdr>
    </w:div>
    <w:div w:id="550383488">
      <w:bodyDiv w:val="1"/>
      <w:marLeft w:val="0"/>
      <w:marRight w:val="0"/>
      <w:marTop w:val="0"/>
      <w:marBottom w:val="0"/>
      <w:divBdr>
        <w:top w:val="none" w:sz="0" w:space="0" w:color="auto"/>
        <w:left w:val="none" w:sz="0" w:space="0" w:color="auto"/>
        <w:bottom w:val="none" w:sz="0" w:space="0" w:color="auto"/>
        <w:right w:val="none" w:sz="0" w:space="0" w:color="auto"/>
      </w:divBdr>
    </w:div>
    <w:div w:id="617222687">
      <w:bodyDiv w:val="1"/>
      <w:marLeft w:val="0"/>
      <w:marRight w:val="0"/>
      <w:marTop w:val="0"/>
      <w:marBottom w:val="0"/>
      <w:divBdr>
        <w:top w:val="none" w:sz="0" w:space="0" w:color="auto"/>
        <w:left w:val="none" w:sz="0" w:space="0" w:color="auto"/>
        <w:bottom w:val="none" w:sz="0" w:space="0" w:color="auto"/>
        <w:right w:val="none" w:sz="0" w:space="0" w:color="auto"/>
      </w:divBdr>
    </w:div>
    <w:div w:id="633829958">
      <w:bodyDiv w:val="1"/>
      <w:marLeft w:val="0"/>
      <w:marRight w:val="0"/>
      <w:marTop w:val="0"/>
      <w:marBottom w:val="0"/>
      <w:divBdr>
        <w:top w:val="none" w:sz="0" w:space="0" w:color="auto"/>
        <w:left w:val="none" w:sz="0" w:space="0" w:color="auto"/>
        <w:bottom w:val="none" w:sz="0" w:space="0" w:color="auto"/>
        <w:right w:val="none" w:sz="0" w:space="0" w:color="auto"/>
      </w:divBdr>
    </w:div>
    <w:div w:id="755174725">
      <w:bodyDiv w:val="1"/>
      <w:marLeft w:val="0"/>
      <w:marRight w:val="0"/>
      <w:marTop w:val="0"/>
      <w:marBottom w:val="0"/>
      <w:divBdr>
        <w:top w:val="none" w:sz="0" w:space="0" w:color="auto"/>
        <w:left w:val="none" w:sz="0" w:space="0" w:color="auto"/>
        <w:bottom w:val="none" w:sz="0" w:space="0" w:color="auto"/>
        <w:right w:val="none" w:sz="0" w:space="0" w:color="auto"/>
      </w:divBdr>
    </w:div>
    <w:div w:id="1028875240">
      <w:bodyDiv w:val="1"/>
      <w:marLeft w:val="0"/>
      <w:marRight w:val="0"/>
      <w:marTop w:val="0"/>
      <w:marBottom w:val="0"/>
      <w:divBdr>
        <w:top w:val="none" w:sz="0" w:space="0" w:color="auto"/>
        <w:left w:val="none" w:sz="0" w:space="0" w:color="auto"/>
        <w:bottom w:val="none" w:sz="0" w:space="0" w:color="auto"/>
        <w:right w:val="none" w:sz="0" w:space="0" w:color="auto"/>
      </w:divBdr>
    </w:div>
    <w:div w:id="1052343332">
      <w:bodyDiv w:val="1"/>
      <w:marLeft w:val="0"/>
      <w:marRight w:val="0"/>
      <w:marTop w:val="0"/>
      <w:marBottom w:val="0"/>
      <w:divBdr>
        <w:top w:val="none" w:sz="0" w:space="0" w:color="auto"/>
        <w:left w:val="none" w:sz="0" w:space="0" w:color="auto"/>
        <w:bottom w:val="none" w:sz="0" w:space="0" w:color="auto"/>
        <w:right w:val="none" w:sz="0" w:space="0" w:color="auto"/>
      </w:divBdr>
    </w:div>
    <w:div w:id="1065494147">
      <w:bodyDiv w:val="1"/>
      <w:marLeft w:val="0"/>
      <w:marRight w:val="0"/>
      <w:marTop w:val="0"/>
      <w:marBottom w:val="0"/>
      <w:divBdr>
        <w:top w:val="none" w:sz="0" w:space="0" w:color="auto"/>
        <w:left w:val="none" w:sz="0" w:space="0" w:color="auto"/>
        <w:bottom w:val="none" w:sz="0" w:space="0" w:color="auto"/>
        <w:right w:val="none" w:sz="0" w:space="0" w:color="auto"/>
      </w:divBdr>
    </w:div>
    <w:div w:id="1653607691">
      <w:bodyDiv w:val="1"/>
      <w:marLeft w:val="0"/>
      <w:marRight w:val="0"/>
      <w:marTop w:val="0"/>
      <w:marBottom w:val="0"/>
      <w:divBdr>
        <w:top w:val="none" w:sz="0" w:space="0" w:color="auto"/>
        <w:left w:val="none" w:sz="0" w:space="0" w:color="auto"/>
        <w:bottom w:val="none" w:sz="0" w:space="0" w:color="auto"/>
        <w:right w:val="none" w:sz="0" w:space="0" w:color="auto"/>
      </w:divBdr>
    </w:div>
    <w:div w:id="1917279363">
      <w:bodyDiv w:val="1"/>
      <w:marLeft w:val="0"/>
      <w:marRight w:val="0"/>
      <w:marTop w:val="0"/>
      <w:marBottom w:val="0"/>
      <w:divBdr>
        <w:top w:val="none" w:sz="0" w:space="0" w:color="auto"/>
        <w:left w:val="none" w:sz="0" w:space="0" w:color="auto"/>
        <w:bottom w:val="none" w:sz="0" w:space="0" w:color="auto"/>
        <w:right w:val="none" w:sz="0" w:space="0" w:color="auto"/>
      </w:divBdr>
    </w:div>
    <w:div w:id="194873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hrc-crsh.gc.ca/funding-financement/crcef-fucrc/index-eng.aspx" TargetMode="External"/><Relationship Id="rId13" Type="http://schemas.openxmlformats.org/officeDocument/2006/relationships/hyperlink" Target="https://research.ubc.ca/crc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zarus@baycres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ubo.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der@baycrest.org" TargetMode="External"/><Relationship Id="rId4" Type="http://schemas.openxmlformats.org/officeDocument/2006/relationships/settings" Target="settings.xml"/><Relationship Id="rId9" Type="http://schemas.openxmlformats.org/officeDocument/2006/relationships/hyperlink" Target="mailto:hder@baycrest.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JL-Operations\1-Human%20Resources\Recruitment\Terms%20of%20Reference%20Search%20Committ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3DC5A-48F0-4DBD-9FA9-C6BB261E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Terms of Reference Search Committee</Template>
  <TotalTime>396</TotalTime>
  <Pages>5</Pages>
  <Words>1492</Words>
  <Characters>9013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BAYCREST CENTRE FOR GERIATRIC CARE</vt:lpstr>
    </vt:vector>
  </TitlesOfParts>
  <Company>ROTMAN RESEARCH</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BAYCREST CENTRE FOR GERIATRIC CARE</dc:title>
  <dc:creator>Lazarus, Jean (2190)</dc:creator>
  <cp:lastModifiedBy>Lazarus, Jean (2190)</cp:lastModifiedBy>
  <cp:revision>12</cp:revision>
  <cp:lastPrinted>2020-11-06T14:00:00Z</cp:lastPrinted>
  <dcterms:created xsi:type="dcterms:W3CDTF">2020-10-12T18:06:00Z</dcterms:created>
  <dcterms:modified xsi:type="dcterms:W3CDTF">2020-11-06T20:08:00Z</dcterms:modified>
</cp:coreProperties>
</file>