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37" w:rsidRPr="00F84D03" w:rsidRDefault="00755DE3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Canada Research Continuity Emergency Fund</w:t>
      </w:r>
    </w:p>
    <w:p w:rsidR="00824E37" w:rsidRPr="00F84D03" w:rsidRDefault="00755DE3">
      <w:pPr>
        <w:pStyle w:val="Heading3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Stage Three Funding </w:t>
      </w:r>
      <w:r w:rsidR="00CA6FC3">
        <w:rPr>
          <w:rFonts w:asciiTheme="minorHAnsi" w:hAnsiTheme="minorHAnsi"/>
          <w:szCs w:val="24"/>
        </w:rPr>
        <w:t xml:space="preserve">Internal </w:t>
      </w:r>
      <w:r>
        <w:rPr>
          <w:rFonts w:asciiTheme="minorHAnsi" w:hAnsiTheme="minorHAnsi"/>
          <w:szCs w:val="24"/>
        </w:rPr>
        <w:t>Allocation Committee</w:t>
      </w:r>
    </w:p>
    <w:p w:rsidR="006A3970" w:rsidRPr="00F84D03" w:rsidRDefault="006A3970" w:rsidP="006A3970">
      <w:pPr>
        <w:jc w:val="center"/>
        <w:rPr>
          <w:rFonts w:asciiTheme="minorHAnsi" w:hAnsiTheme="minorHAnsi"/>
          <w:b/>
          <w:caps/>
          <w:szCs w:val="24"/>
        </w:rPr>
      </w:pPr>
      <w:r w:rsidRPr="00F84D03">
        <w:rPr>
          <w:rFonts w:asciiTheme="minorHAnsi" w:hAnsiTheme="minorHAnsi"/>
          <w:b/>
          <w:szCs w:val="24"/>
        </w:rPr>
        <w:t xml:space="preserve">TERMS OF REFERENCE </w:t>
      </w:r>
    </w:p>
    <w:p w:rsidR="00EA7A26" w:rsidRPr="00F84D03" w:rsidRDefault="00EA7A26">
      <w:pPr>
        <w:pStyle w:val="Heading1"/>
        <w:rPr>
          <w:rFonts w:asciiTheme="minorHAnsi" w:hAnsiTheme="minorHAnsi"/>
          <w:szCs w:val="24"/>
        </w:rPr>
      </w:pPr>
    </w:p>
    <w:p w:rsidR="00824E37" w:rsidRPr="00F84D03" w:rsidRDefault="002B5E7C">
      <w:pPr>
        <w:pStyle w:val="Heading1"/>
        <w:rPr>
          <w:rFonts w:asciiTheme="minorHAnsi" w:hAnsiTheme="minorHAnsi"/>
          <w:szCs w:val="24"/>
        </w:rPr>
      </w:pPr>
      <w:r w:rsidRPr="00F84D03">
        <w:rPr>
          <w:rFonts w:asciiTheme="minorHAnsi" w:hAnsiTheme="minorHAnsi"/>
          <w:szCs w:val="24"/>
        </w:rPr>
        <w:t>PURPOSE</w:t>
      </w:r>
      <w:r w:rsidR="009A0BB3">
        <w:rPr>
          <w:rFonts w:asciiTheme="minorHAnsi" w:hAnsiTheme="minorHAnsi"/>
          <w:szCs w:val="24"/>
        </w:rPr>
        <w:t>:</w:t>
      </w:r>
    </w:p>
    <w:p w:rsidR="008B1A69" w:rsidRDefault="008B1A69" w:rsidP="008572E0">
      <w:pPr>
        <w:rPr>
          <w:rFonts w:asciiTheme="minorHAnsi" w:hAnsiTheme="minorHAnsi"/>
          <w:szCs w:val="24"/>
        </w:rPr>
      </w:pPr>
    </w:p>
    <w:p w:rsidR="008572E0" w:rsidRDefault="00755DE3" w:rsidP="008572E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Government of Canada’s COVID-19 Economic Response Plan includes the Canada Research Continuity Emergency Fund (CRCEF) program</w:t>
      </w:r>
      <w:r w:rsidR="008572E0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 xml:space="preserve"> The temporary program has been established to help sustain the research enterprise at Canadian universities and health research institutions that have been affected by the COVID-19 pandemic.  The program is intended to help reduce negative impacts of the pandemic and ensure that the benefits of significant investments to date in universities and health research institutions are protected.</w:t>
      </w:r>
    </w:p>
    <w:p w:rsidR="00755DE3" w:rsidRDefault="00755DE3" w:rsidP="008572E0">
      <w:pPr>
        <w:rPr>
          <w:rFonts w:asciiTheme="minorHAnsi" w:hAnsiTheme="minorHAnsi"/>
          <w:szCs w:val="24"/>
        </w:rPr>
      </w:pPr>
    </w:p>
    <w:p w:rsidR="00755DE3" w:rsidRDefault="00755DE3" w:rsidP="008572E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CRCEF program has four </w:t>
      </w:r>
      <w:r w:rsidR="00552D0B">
        <w:rPr>
          <w:rFonts w:asciiTheme="minorHAnsi" w:hAnsiTheme="minorHAnsi"/>
          <w:szCs w:val="24"/>
        </w:rPr>
        <w:t>stage</w:t>
      </w:r>
      <w:r>
        <w:rPr>
          <w:rFonts w:asciiTheme="minorHAnsi" w:hAnsiTheme="minorHAnsi"/>
          <w:szCs w:val="24"/>
        </w:rPr>
        <w:t>s:</w:t>
      </w:r>
    </w:p>
    <w:p w:rsidR="00755DE3" w:rsidRDefault="00552D0B" w:rsidP="008572E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Stage</w:t>
      </w:r>
      <w:r w:rsidR="00755DE3" w:rsidRPr="00552D0B">
        <w:rPr>
          <w:rFonts w:asciiTheme="minorHAnsi" w:hAnsiTheme="minorHAnsi"/>
          <w:b/>
          <w:szCs w:val="24"/>
        </w:rPr>
        <w:t>s 1 and 2</w:t>
      </w:r>
      <w:r w:rsidR="00755DE3">
        <w:rPr>
          <w:rFonts w:asciiTheme="minorHAnsi" w:hAnsiTheme="minorHAnsi"/>
          <w:szCs w:val="24"/>
        </w:rPr>
        <w:t xml:space="preserve"> </w:t>
      </w:r>
      <w:proofErr w:type="gramStart"/>
      <w:r w:rsidR="002656BF">
        <w:rPr>
          <w:rFonts w:asciiTheme="minorHAnsi" w:hAnsiTheme="minorHAnsi"/>
          <w:szCs w:val="24"/>
        </w:rPr>
        <w:t xml:space="preserve">were </w:t>
      </w:r>
      <w:r w:rsidR="00755DE3">
        <w:rPr>
          <w:rFonts w:asciiTheme="minorHAnsi" w:hAnsiTheme="minorHAnsi"/>
          <w:szCs w:val="24"/>
        </w:rPr>
        <w:t>focused</w:t>
      </w:r>
      <w:proofErr w:type="gramEnd"/>
      <w:r w:rsidR="00755DE3">
        <w:rPr>
          <w:rFonts w:asciiTheme="minorHAnsi" w:hAnsiTheme="minorHAnsi"/>
          <w:szCs w:val="24"/>
        </w:rPr>
        <w:t xml:space="preserve"> exclusively </w:t>
      </w:r>
      <w:r w:rsidR="002656BF">
        <w:rPr>
          <w:rFonts w:asciiTheme="minorHAnsi" w:hAnsiTheme="minorHAnsi"/>
          <w:szCs w:val="24"/>
        </w:rPr>
        <w:t>on</w:t>
      </w:r>
      <w:r w:rsidR="00755DE3">
        <w:rPr>
          <w:rFonts w:asciiTheme="minorHAnsi" w:hAnsiTheme="minorHAnsi"/>
          <w:szCs w:val="24"/>
        </w:rPr>
        <w:t xml:space="preserve"> wage support for research personnel whose salaries were adversely affected by COVID-19 and who are paid in part or in wh</w:t>
      </w:r>
      <w:r w:rsidR="00C92D34">
        <w:rPr>
          <w:rFonts w:asciiTheme="minorHAnsi" w:hAnsiTheme="minorHAnsi"/>
          <w:szCs w:val="24"/>
        </w:rPr>
        <w:t>ole by non-governmental sources for March 15 to August 29, 2020.</w:t>
      </w:r>
      <w:r w:rsidR="00755DE3">
        <w:rPr>
          <w:rFonts w:asciiTheme="minorHAnsi" w:hAnsiTheme="minorHAnsi"/>
          <w:szCs w:val="24"/>
        </w:rPr>
        <w:t xml:space="preserve"> </w:t>
      </w:r>
    </w:p>
    <w:p w:rsidR="00755DE3" w:rsidRDefault="00552D0B" w:rsidP="008572E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Stage</w:t>
      </w:r>
      <w:r w:rsidR="00755DE3" w:rsidRPr="00552D0B">
        <w:rPr>
          <w:rFonts w:asciiTheme="minorHAnsi" w:hAnsiTheme="minorHAnsi"/>
          <w:b/>
          <w:szCs w:val="24"/>
        </w:rPr>
        <w:t xml:space="preserve"> 3</w:t>
      </w:r>
      <w:r w:rsidR="00755DE3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is for direct costs associated with maintenance and ramp-up of research activities</w:t>
      </w:r>
      <w:r w:rsidR="00800A51">
        <w:rPr>
          <w:rFonts w:asciiTheme="minorHAnsi" w:hAnsiTheme="minorHAnsi"/>
          <w:szCs w:val="24"/>
        </w:rPr>
        <w:t xml:space="preserve"> between </w:t>
      </w:r>
      <w:r w:rsidR="00C92D34">
        <w:rPr>
          <w:rFonts w:asciiTheme="minorHAnsi" w:hAnsiTheme="minorHAnsi"/>
          <w:szCs w:val="24"/>
        </w:rPr>
        <w:t>March 15</w:t>
      </w:r>
      <w:r w:rsidR="00800A51">
        <w:rPr>
          <w:rFonts w:asciiTheme="minorHAnsi" w:hAnsiTheme="minorHAnsi"/>
          <w:szCs w:val="24"/>
        </w:rPr>
        <w:t>, 2020 and November 15, 2020</w:t>
      </w:r>
    </w:p>
    <w:p w:rsidR="00755DE3" w:rsidRPr="008572E0" w:rsidRDefault="00552D0B" w:rsidP="008572E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Stage</w:t>
      </w:r>
      <w:r w:rsidR="00755DE3" w:rsidRPr="00552D0B">
        <w:rPr>
          <w:rFonts w:asciiTheme="minorHAnsi" w:hAnsiTheme="minorHAnsi"/>
          <w:b/>
          <w:szCs w:val="24"/>
        </w:rPr>
        <w:t xml:space="preserve"> 4</w:t>
      </w:r>
      <w:r>
        <w:rPr>
          <w:rFonts w:asciiTheme="minorHAnsi" w:hAnsiTheme="minorHAnsi"/>
          <w:szCs w:val="24"/>
        </w:rPr>
        <w:t xml:space="preserve"> extends the eligible period for Stages 1 and 2 from 12 weeks to 24 weeks within the same timeframe of March 15 to August 29, 2020.</w:t>
      </w:r>
    </w:p>
    <w:p w:rsidR="00824E37" w:rsidRDefault="00824E37">
      <w:pPr>
        <w:rPr>
          <w:rFonts w:asciiTheme="minorHAnsi" w:hAnsiTheme="minorHAnsi"/>
          <w:szCs w:val="24"/>
        </w:rPr>
      </w:pPr>
    </w:p>
    <w:p w:rsidR="00824E37" w:rsidRPr="00F84D03" w:rsidRDefault="00751AA7">
      <w:pPr>
        <w:pStyle w:val="Heading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ACCOUNTABILITY</w:t>
      </w:r>
      <w:r w:rsidR="009A0BB3">
        <w:rPr>
          <w:rFonts w:asciiTheme="minorHAnsi" w:hAnsiTheme="minorHAnsi"/>
          <w:szCs w:val="24"/>
        </w:rPr>
        <w:t>:</w:t>
      </w:r>
    </w:p>
    <w:p w:rsidR="008B1A69" w:rsidRDefault="008B1A69">
      <w:pPr>
        <w:rPr>
          <w:rFonts w:asciiTheme="minorHAnsi" w:hAnsiTheme="minorHAnsi"/>
          <w:szCs w:val="24"/>
        </w:rPr>
      </w:pPr>
    </w:p>
    <w:p w:rsidR="002656BF" w:rsidRDefault="00751AA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Vice </w:t>
      </w:r>
      <w:r w:rsidR="00EA7A26" w:rsidRPr="00F84D03">
        <w:rPr>
          <w:rFonts w:asciiTheme="minorHAnsi" w:hAnsiTheme="minorHAnsi"/>
          <w:szCs w:val="24"/>
        </w:rPr>
        <w:t>President, Research</w:t>
      </w:r>
      <w:r>
        <w:rPr>
          <w:rFonts w:asciiTheme="minorHAnsi" w:hAnsiTheme="minorHAnsi"/>
          <w:szCs w:val="24"/>
        </w:rPr>
        <w:t xml:space="preserve"> </w:t>
      </w:r>
    </w:p>
    <w:p w:rsidR="00824E37" w:rsidRPr="00F84D03" w:rsidRDefault="00751AA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Vice President, Finance</w:t>
      </w:r>
    </w:p>
    <w:p w:rsidR="00824E37" w:rsidRPr="00F84D03" w:rsidRDefault="00824E37">
      <w:pPr>
        <w:rPr>
          <w:rFonts w:asciiTheme="minorHAnsi" w:hAnsiTheme="minorHAnsi"/>
          <w:szCs w:val="24"/>
        </w:rPr>
      </w:pPr>
    </w:p>
    <w:p w:rsidR="00824E37" w:rsidRPr="00F84D03" w:rsidRDefault="002B5E7C">
      <w:pPr>
        <w:pStyle w:val="Heading1"/>
        <w:rPr>
          <w:rFonts w:asciiTheme="minorHAnsi" w:hAnsiTheme="minorHAnsi"/>
          <w:szCs w:val="24"/>
        </w:rPr>
      </w:pPr>
      <w:r w:rsidRPr="00F84D03">
        <w:rPr>
          <w:rFonts w:asciiTheme="minorHAnsi" w:hAnsiTheme="minorHAnsi"/>
          <w:szCs w:val="24"/>
        </w:rPr>
        <w:t>RESPONSIBILITIES</w:t>
      </w:r>
      <w:r w:rsidR="009A0BB3">
        <w:rPr>
          <w:rFonts w:asciiTheme="minorHAnsi" w:hAnsiTheme="minorHAnsi"/>
          <w:szCs w:val="24"/>
        </w:rPr>
        <w:t>:</w:t>
      </w:r>
    </w:p>
    <w:p w:rsidR="008B1A69" w:rsidRDefault="008B1A69" w:rsidP="008B1A69">
      <w:pPr>
        <w:pStyle w:val="ListParagraph"/>
        <w:ind w:left="360"/>
        <w:rPr>
          <w:rFonts w:asciiTheme="minorHAnsi" w:hAnsiTheme="minorHAnsi"/>
          <w:szCs w:val="24"/>
        </w:rPr>
      </w:pPr>
    </w:p>
    <w:p w:rsidR="00800A51" w:rsidRPr="00800A51" w:rsidRDefault="00800A51" w:rsidP="00800A51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800A51">
        <w:rPr>
          <w:rFonts w:asciiTheme="minorHAnsi" w:hAnsiTheme="minorHAnsi"/>
          <w:szCs w:val="24"/>
        </w:rPr>
        <w:t xml:space="preserve">To oversee the internal allocation of Stage 3 CRCEF funds using an open and transparent process.  Baycrest’s notional Stage 3 funding is $101,687.00.  </w:t>
      </w:r>
    </w:p>
    <w:p w:rsidR="008B1A69" w:rsidRDefault="008C0FB5" w:rsidP="00880A7C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2E4CBF">
        <w:rPr>
          <w:rFonts w:asciiTheme="minorHAnsi" w:hAnsiTheme="minorHAnsi"/>
          <w:szCs w:val="24"/>
        </w:rPr>
        <w:t xml:space="preserve">To </w:t>
      </w:r>
      <w:r w:rsidR="00800A51">
        <w:rPr>
          <w:rFonts w:asciiTheme="minorHAnsi" w:hAnsiTheme="minorHAnsi"/>
          <w:szCs w:val="24"/>
        </w:rPr>
        <w:t xml:space="preserve">post </w:t>
      </w:r>
      <w:r>
        <w:rPr>
          <w:rFonts w:asciiTheme="minorHAnsi" w:hAnsiTheme="minorHAnsi"/>
          <w:szCs w:val="24"/>
        </w:rPr>
        <w:t xml:space="preserve">an open call </w:t>
      </w:r>
      <w:r w:rsidR="008B1A69">
        <w:rPr>
          <w:rFonts w:asciiTheme="minorHAnsi" w:hAnsiTheme="minorHAnsi"/>
          <w:szCs w:val="24"/>
        </w:rPr>
        <w:t xml:space="preserve">for Principal Investigators and Scientific Directors of </w:t>
      </w:r>
      <w:r w:rsidR="00987DBF">
        <w:rPr>
          <w:rFonts w:asciiTheme="minorHAnsi" w:hAnsiTheme="minorHAnsi"/>
          <w:szCs w:val="24"/>
        </w:rPr>
        <w:t>shared research facilities</w:t>
      </w:r>
      <w:r w:rsidR="008B1A69">
        <w:rPr>
          <w:rFonts w:asciiTheme="minorHAnsi" w:hAnsiTheme="minorHAnsi"/>
          <w:szCs w:val="24"/>
        </w:rPr>
        <w:t xml:space="preserve"> to apply for CRCEF Stage 3 funding.</w:t>
      </w:r>
    </w:p>
    <w:p w:rsidR="008C0FB5" w:rsidRDefault="008B1A69" w:rsidP="00880A7C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open call will be</w:t>
      </w:r>
      <w:r w:rsidR="008C0FB5">
        <w:rPr>
          <w:rFonts w:asciiTheme="minorHAnsi" w:hAnsiTheme="minorHAnsi"/>
          <w:szCs w:val="24"/>
        </w:rPr>
        <w:t xml:space="preserve"> posted on Baycrest</w:t>
      </w:r>
      <w:r>
        <w:rPr>
          <w:rFonts w:asciiTheme="minorHAnsi" w:hAnsiTheme="minorHAnsi"/>
          <w:szCs w:val="24"/>
        </w:rPr>
        <w:t>’s</w:t>
      </w:r>
      <w:r w:rsidR="008C0FB5">
        <w:rPr>
          <w:rFonts w:asciiTheme="minorHAnsi" w:hAnsiTheme="minorHAnsi"/>
          <w:szCs w:val="24"/>
        </w:rPr>
        <w:t xml:space="preserve"> website (</w:t>
      </w:r>
      <w:hyperlink r:id="rId8" w:history="1">
        <w:r w:rsidR="008C0FB5" w:rsidRPr="0050267A">
          <w:rPr>
            <w:rStyle w:val="Hyperlink"/>
            <w:rFonts w:asciiTheme="minorHAnsi" w:hAnsiTheme="minorHAnsi"/>
            <w:szCs w:val="24"/>
          </w:rPr>
          <w:t>www.baycrest.org</w:t>
        </w:r>
      </w:hyperlink>
      <w:r w:rsidR="008C0FB5">
        <w:rPr>
          <w:rFonts w:asciiTheme="minorHAnsi" w:hAnsiTheme="minorHAnsi"/>
          <w:szCs w:val="24"/>
        </w:rPr>
        <w:t>), and communicated by email</w:t>
      </w:r>
      <w:r w:rsidR="00800A51">
        <w:rPr>
          <w:rFonts w:asciiTheme="minorHAnsi" w:hAnsiTheme="minorHAnsi"/>
          <w:szCs w:val="24"/>
        </w:rPr>
        <w:t xml:space="preserve"> to all eligible staff</w:t>
      </w:r>
      <w:r w:rsidR="008C0FB5">
        <w:rPr>
          <w:rFonts w:asciiTheme="minorHAnsi" w:hAnsiTheme="minorHAnsi"/>
          <w:szCs w:val="24"/>
        </w:rPr>
        <w:t>.  The open call will include eligibility criteria, application information and the evaluation criteria for the internal allocation</w:t>
      </w:r>
      <w:r>
        <w:rPr>
          <w:rFonts w:asciiTheme="minorHAnsi" w:hAnsiTheme="minorHAnsi"/>
          <w:szCs w:val="24"/>
        </w:rPr>
        <w:t xml:space="preserve"> of the funds.</w:t>
      </w:r>
    </w:p>
    <w:p w:rsidR="009A0BB3" w:rsidRPr="0024646A" w:rsidRDefault="00880A7C" w:rsidP="0024646A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2E4CBF">
        <w:rPr>
          <w:rFonts w:asciiTheme="minorHAnsi" w:hAnsiTheme="minorHAnsi"/>
          <w:szCs w:val="24"/>
        </w:rPr>
        <w:t>To</w:t>
      </w:r>
      <w:r w:rsidR="009A0BB3" w:rsidRPr="002E4CBF">
        <w:rPr>
          <w:rFonts w:asciiTheme="minorHAnsi" w:hAnsiTheme="minorHAnsi"/>
          <w:szCs w:val="24"/>
        </w:rPr>
        <w:t xml:space="preserve"> </w:t>
      </w:r>
      <w:r w:rsidR="008C0FB5">
        <w:rPr>
          <w:rFonts w:asciiTheme="minorHAnsi" w:hAnsiTheme="minorHAnsi"/>
          <w:szCs w:val="24"/>
        </w:rPr>
        <w:t>ensure that the internal allocation process is</w:t>
      </w:r>
      <w:r w:rsidR="00CA6FC3">
        <w:rPr>
          <w:rFonts w:asciiTheme="minorHAnsi" w:hAnsiTheme="minorHAnsi"/>
          <w:szCs w:val="24"/>
        </w:rPr>
        <w:t xml:space="preserve"> keeping with </w:t>
      </w:r>
      <w:r w:rsidR="00800A51">
        <w:rPr>
          <w:rFonts w:asciiTheme="minorHAnsi" w:hAnsiTheme="minorHAnsi"/>
          <w:szCs w:val="24"/>
        </w:rPr>
        <w:t>t</w:t>
      </w:r>
      <w:r w:rsidR="00CA6FC3">
        <w:rPr>
          <w:rFonts w:asciiTheme="minorHAnsi" w:hAnsiTheme="minorHAnsi"/>
          <w:szCs w:val="24"/>
        </w:rPr>
        <w:t xml:space="preserve">he CRCEF eligible expenses </w:t>
      </w:r>
      <w:r w:rsidR="008C0FB5">
        <w:rPr>
          <w:rFonts w:asciiTheme="minorHAnsi" w:hAnsiTheme="minorHAnsi"/>
          <w:szCs w:val="24"/>
        </w:rPr>
        <w:t xml:space="preserve">guidelines </w:t>
      </w:r>
      <w:r w:rsidR="00800A51">
        <w:rPr>
          <w:rFonts w:asciiTheme="minorHAnsi" w:hAnsiTheme="minorHAnsi"/>
          <w:szCs w:val="24"/>
        </w:rPr>
        <w:t>and</w:t>
      </w:r>
      <w:r w:rsidR="00CA6FC3">
        <w:rPr>
          <w:rFonts w:asciiTheme="minorHAnsi" w:hAnsiTheme="minorHAnsi"/>
          <w:szCs w:val="24"/>
        </w:rPr>
        <w:t xml:space="preserve"> equity, diversity and inclusion requirements </w:t>
      </w:r>
      <w:r w:rsidR="008B1A69">
        <w:rPr>
          <w:rFonts w:asciiTheme="minorHAnsi" w:hAnsiTheme="minorHAnsi"/>
          <w:szCs w:val="24"/>
        </w:rPr>
        <w:t>underpin</w:t>
      </w:r>
      <w:r w:rsidR="00CA6FC3">
        <w:rPr>
          <w:rFonts w:asciiTheme="minorHAnsi" w:hAnsiTheme="minorHAnsi"/>
          <w:szCs w:val="24"/>
        </w:rPr>
        <w:t xml:space="preserve"> the internal allocation </w:t>
      </w:r>
      <w:r w:rsidR="008C0FB5">
        <w:rPr>
          <w:rFonts w:asciiTheme="minorHAnsi" w:hAnsiTheme="minorHAnsi"/>
          <w:szCs w:val="24"/>
        </w:rPr>
        <w:t>process.</w:t>
      </w:r>
      <w:r w:rsidR="00800A51">
        <w:rPr>
          <w:rFonts w:asciiTheme="minorHAnsi" w:hAnsiTheme="minorHAnsi"/>
          <w:szCs w:val="24"/>
        </w:rPr>
        <w:t xml:space="preserve"> </w:t>
      </w:r>
    </w:p>
    <w:p w:rsidR="00BD228C" w:rsidRDefault="00BD228C" w:rsidP="00CA6FC3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2E4CBF">
        <w:rPr>
          <w:rFonts w:asciiTheme="minorHAnsi" w:hAnsiTheme="minorHAnsi"/>
          <w:szCs w:val="24"/>
        </w:rPr>
        <w:t xml:space="preserve">To </w:t>
      </w:r>
      <w:r w:rsidR="00800A51">
        <w:rPr>
          <w:rFonts w:asciiTheme="minorHAnsi" w:hAnsiTheme="minorHAnsi"/>
          <w:szCs w:val="24"/>
        </w:rPr>
        <w:t>incorporate guidelines to limit the negative impact of unconscious bias and systemic barriers for both wage supports and maintenance</w:t>
      </w:r>
      <w:r w:rsidR="00A26779">
        <w:rPr>
          <w:rFonts w:asciiTheme="minorHAnsi" w:hAnsiTheme="minorHAnsi"/>
          <w:szCs w:val="24"/>
        </w:rPr>
        <w:t xml:space="preserve"> </w:t>
      </w:r>
      <w:r w:rsidR="00800A51">
        <w:rPr>
          <w:rFonts w:asciiTheme="minorHAnsi" w:hAnsiTheme="minorHAnsi"/>
          <w:szCs w:val="24"/>
        </w:rPr>
        <w:t>/</w:t>
      </w:r>
      <w:r w:rsidR="00A26779">
        <w:rPr>
          <w:rFonts w:asciiTheme="minorHAnsi" w:hAnsiTheme="minorHAnsi"/>
          <w:szCs w:val="24"/>
        </w:rPr>
        <w:t xml:space="preserve"> </w:t>
      </w:r>
      <w:r w:rsidR="00800A51">
        <w:rPr>
          <w:rFonts w:asciiTheme="minorHAnsi" w:hAnsiTheme="minorHAnsi"/>
          <w:szCs w:val="24"/>
        </w:rPr>
        <w:t>ramp-up costs, including cases where the need exceeds the notional funds provided.</w:t>
      </w:r>
    </w:p>
    <w:p w:rsidR="00800A51" w:rsidRDefault="00800A51" w:rsidP="00800A51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To document the safeguards to ensure that decisions are not negatively affected by a researcher’s inability to work during the pandemic due to child/family care or increased risk related to exposure to COVID-19.</w:t>
      </w:r>
    </w:p>
    <w:p w:rsidR="00800A51" w:rsidRDefault="00800A51" w:rsidP="00800A51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800A51">
        <w:rPr>
          <w:rFonts w:asciiTheme="minorHAnsi" w:hAnsiTheme="minorHAnsi"/>
          <w:szCs w:val="24"/>
        </w:rPr>
        <w:lastRenderedPageBreak/>
        <w:t xml:space="preserve">To ensure that decision-making values research that is non-traditional or unconventional, based on indigenous ways of knowing, outside the mainstream of the discipline, or </w:t>
      </w:r>
      <w:r w:rsidR="008F681A" w:rsidRPr="00800A51">
        <w:rPr>
          <w:rFonts w:asciiTheme="minorHAnsi" w:hAnsiTheme="minorHAnsi"/>
          <w:szCs w:val="24"/>
        </w:rPr>
        <w:t>focused</w:t>
      </w:r>
      <w:r w:rsidRPr="00800A51">
        <w:rPr>
          <w:rFonts w:asciiTheme="minorHAnsi" w:hAnsiTheme="minorHAnsi"/>
          <w:szCs w:val="24"/>
        </w:rPr>
        <w:t xml:space="preserve"> on </w:t>
      </w:r>
      <w:r w:rsidR="008F681A" w:rsidRPr="00800A51">
        <w:rPr>
          <w:rFonts w:asciiTheme="minorHAnsi" w:hAnsiTheme="minorHAnsi"/>
          <w:szCs w:val="24"/>
        </w:rPr>
        <w:t>issues</w:t>
      </w:r>
      <w:r w:rsidRPr="00800A51">
        <w:rPr>
          <w:rFonts w:asciiTheme="minorHAnsi" w:hAnsiTheme="minorHAnsi"/>
          <w:szCs w:val="24"/>
        </w:rPr>
        <w:t xml:space="preserve"> of gender, race or minority status.</w:t>
      </w:r>
    </w:p>
    <w:p w:rsidR="00245B80" w:rsidRPr="00245B80" w:rsidRDefault="00245B80" w:rsidP="00245B80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</w:rPr>
        <w:t xml:space="preserve">To ensure that </w:t>
      </w:r>
      <w:r w:rsidRPr="00245B80">
        <w:rPr>
          <w:rFonts w:asciiTheme="minorHAnsi" w:hAnsiTheme="minorHAnsi"/>
          <w:szCs w:val="24"/>
          <w:lang w:val="en-CA"/>
        </w:rPr>
        <w:t>all eligible expenses meet the </w:t>
      </w:r>
      <w:hyperlink r:id="rId9" w:anchor="eligibility-admissibilite" w:history="1">
        <w:r w:rsidRPr="00245B80">
          <w:rPr>
            <w:rStyle w:val="Hyperlink"/>
            <w:rFonts w:asciiTheme="minorHAnsi" w:hAnsiTheme="minorHAnsi"/>
            <w:szCs w:val="24"/>
            <w:lang w:val="en-CA"/>
          </w:rPr>
          <w:t>Stage 3 eligible expenses criteria</w:t>
        </w:r>
      </w:hyperlink>
      <w:r w:rsidRPr="00245B80">
        <w:rPr>
          <w:rFonts w:asciiTheme="minorHAnsi" w:hAnsiTheme="minorHAnsi"/>
          <w:szCs w:val="24"/>
          <w:lang w:val="en-CA"/>
        </w:rPr>
        <w:t xml:space="preserve"> and are properly documented for monitoring, reporting and auditing purposes. </w:t>
      </w:r>
      <w:r>
        <w:rPr>
          <w:rFonts w:asciiTheme="minorHAnsi" w:hAnsiTheme="minorHAnsi"/>
          <w:szCs w:val="24"/>
          <w:lang w:val="en-CA"/>
        </w:rPr>
        <w:t>(</w:t>
      </w:r>
      <w:r w:rsidRPr="00245B80">
        <w:rPr>
          <w:rFonts w:asciiTheme="minorHAnsi" w:hAnsiTheme="minorHAnsi"/>
          <w:szCs w:val="24"/>
          <w:lang w:val="en-CA"/>
        </w:rPr>
        <w:t>While documentation kept on file is for 100% of the eligible expense, funding requested to the CRCEF program is for a maximum of 75% of the eligible expense</w:t>
      </w:r>
      <w:r>
        <w:rPr>
          <w:rFonts w:asciiTheme="minorHAnsi" w:hAnsiTheme="minorHAnsi"/>
          <w:szCs w:val="24"/>
          <w:lang w:val="en-CA"/>
        </w:rPr>
        <w:t>)</w:t>
      </w:r>
      <w:r w:rsidRPr="00245B80">
        <w:rPr>
          <w:rFonts w:asciiTheme="minorHAnsi" w:hAnsiTheme="minorHAnsi"/>
          <w:szCs w:val="24"/>
          <w:lang w:val="en-CA"/>
        </w:rPr>
        <w:t>.</w:t>
      </w:r>
    </w:p>
    <w:p w:rsidR="00245B80" w:rsidRPr="00800A51" w:rsidRDefault="00245B80" w:rsidP="00245B80">
      <w:pPr>
        <w:pStyle w:val="ListParagraph"/>
        <w:ind w:left="360"/>
        <w:rPr>
          <w:rFonts w:asciiTheme="minorHAnsi" w:hAnsiTheme="minorHAnsi"/>
          <w:szCs w:val="24"/>
        </w:rPr>
      </w:pPr>
    </w:p>
    <w:p w:rsidR="00930BE9" w:rsidRDefault="00930BE9" w:rsidP="00930BE9">
      <w:pPr>
        <w:rPr>
          <w:rFonts w:asciiTheme="minorHAnsi" w:hAnsiTheme="minorHAnsi"/>
          <w:szCs w:val="24"/>
        </w:rPr>
      </w:pPr>
      <w:bookmarkStart w:id="0" w:name="_GoBack"/>
      <w:bookmarkEnd w:id="0"/>
    </w:p>
    <w:p w:rsidR="002B302E" w:rsidRPr="008C0FB5" w:rsidRDefault="00751AA7" w:rsidP="00751AA7">
      <w:pPr>
        <w:rPr>
          <w:rFonts w:asciiTheme="minorHAnsi" w:hAnsiTheme="minorHAnsi" w:cstheme="minorHAnsi"/>
          <w:b/>
          <w:szCs w:val="24"/>
        </w:rPr>
      </w:pPr>
      <w:r w:rsidRPr="008C0FB5">
        <w:rPr>
          <w:rFonts w:asciiTheme="minorHAnsi" w:hAnsiTheme="minorHAnsi" w:cstheme="minorHAnsi"/>
          <w:b/>
          <w:szCs w:val="24"/>
        </w:rPr>
        <w:t xml:space="preserve">Stage 3 Eligible Expenses Criteria </w:t>
      </w:r>
    </w:p>
    <w:p w:rsidR="00751AA7" w:rsidRPr="008C0FB5" w:rsidRDefault="00FC4C2F" w:rsidP="00751AA7">
      <w:pPr>
        <w:pStyle w:val="ListParagraph"/>
        <w:ind w:left="360" w:hanging="360"/>
        <w:rPr>
          <w:rFonts w:asciiTheme="minorHAnsi" w:hAnsiTheme="minorHAnsi" w:cstheme="minorHAnsi"/>
          <w:color w:val="000000"/>
        </w:rPr>
      </w:pPr>
      <w:r w:rsidRPr="008C0FB5">
        <w:rPr>
          <w:rFonts w:asciiTheme="minorHAnsi" w:hAnsiTheme="minorHAnsi" w:cstheme="minorHAnsi"/>
          <w:color w:val="000000"/>
        </w:rPr>
        <w:t>Click on the link below to access the eligibility criteria for stage 3 expenses</w:t>
      </w:r>
    </w:p>
    <w:p w:rsidR="00751AA7" w:rsidRPr="008C0FB5" w:rsidRDefault="00FC4C2F" w:rsidP="00751AA7">
      <w:pPr>
        <w:rPr>
          <w:rFonts w:asciiTheme="minorHAnsi" w:hAnsiTheme="minorHAnsi" w:cstheme="minorHAnsi"/>
          <w:b/>
          <w:szCs w:val="24"/>
        </w:rPr>
      </w:pPr>
      <w:r w:rsidRPr="008C0FB5">
        <w:rPr>
          <w:rFonts w:asciiTheme="minorHAnsi" w:hAnsiTheme="minorHAnsi" w:cstheme="minorHAnsi"/>
          <w:b/>
          <w:szCs w:val="24"/>
        </w:rPr>
        <w:t>https://www.sshrc-crsh.gc.ca/funding-financement/crcef-fucrc/faq/ramp-up_costs-couts_de_reprise-eng.aspx?wbdisable=true</w:t>
      </w:r>
    </w:p>
    <w:p w:rsidR="00751AA7" w:rsidRDefault="00751AA7" w:rsidP="00751AA7">
      <w:pPr>
        <w:rPr>
          <w:rFonts w:asciiTheme="minorHAnsi" w:hAnsiTheme="minorHAnsi"/>
          <w:b/>
          <w:szCs w:val="24"/>
        </w:rPr>
      </w:pPr>
    </w:p>
    <w:p w:rsidR="00824E37" w:rsidRDefault="00094181">
      <w:pPr>
        <w:pStyle w:val="Heading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MEMBERSHIP:</w:t>
      </w:r>
    </w:p>
    <w:p w:rsidR="008B1A69" w:rsidRDefault="008B1A69" w:rsidP="00751AA7">
      <w:pPr>
        <w:rPr>
          <w:rFonts w:asciiTheme="minorHAnsi" w:hAnsiTheme="minorHAnsi"/>
        </w:rPr>
      </w:pPr>
    </w:p>
    <w:p w:rsidR="00824E37" w:rsidRPr="002B302E" w:rsidRDefault="00751AA7" w:rsidP="00751AA7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</w:rPr>
        <w:t>Co-chairs</w:t>
      </w:r>
      <w:r w:rsidR="00D9590C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Vice President, Research and Vice President, Finance</w:t>
      </w:r>
    </w:p>
    <w:p w:rsidR="002B302E" w:rsidRDefault="00751AA7" w:rsidP="002B302E">
      <w:pPr>
        <w:rPr>
          <w:rFonts w:asciiTheme="minorHAnsi" w:hAnsiTheme="minorHAnsi"/>
        </w:rPr>
      </w:pPr>
      <w:r>
        <w:rPr>
          <w:rFonts w:asciiTheme="minorHAnsi" w:hAnsiTheme="minorHAnsi"/>
        </w:rPr>
        <w:t>Director, Research Operations</w:t>
      </w:r>
      <w:r w:rsidR="00A26779">
        <w:rPr>
          <w:rFonts w:asciiTheme="minorHAnsi" w:hAnsiTheme="minorHAnsi"/>
        </w:rPr>
        <w:t xml:space="preserve"> (EDI Officer)</w:t>
      </w:r>
    </w:p>
    <w:p w:rsidR="002B302E" w:rsidRDefault="00751AA7" w:rsidP="002B302E">
      <w:pPr>
        <w:rPr>
          <w:rFonts w:asciiTheme="minorHAnsi" w:hAnsiTheme="minorHAnsi"/>
        </w:rPr>
      </w:pPr>
      <w:r>
        <w:rPr>
          <w:rFonts w:asciiTheme="minorHAnsi" w:hAnsiTheme="minorHAnsi"/>
        </w:rPr>
        <w:t>Director, R</w:t>
      </w:r>
      <w:r w:rsidR="002656BF">
        <w:rPr>
          <w:rFonts w:asciiTheme="minorHAnsi" w:hAnsiTheme="minorHAnsi"/>
        </w:rPr>
        <w:t xml:space="preserve">otman Research </w:t>
      </w:r>
      <w:r>
        <w:rPr>
          <w:rFonts w:asciiTheme="minorHAnsi" w:hAnsiTheme="minorHAnsi"/>
        </w:rPr>
        <w:t>I</w:t>
      </w:r>
      <w:r w:rsidR="002656BF">
        <w:rPr>
          <w:rFonts w:asciiTheme="minorHAnsi" w:hAnsiTheme="minorHAnsi"/>
        </w:rPr>
        <w:t>nstitute</w:t>
      </w:r>
      <w:r>
        <w:rPr>
          <w:rFonts w:asciiTheme="minorHAnsi" w:hAnsiTheme="minorHAnsi"/>
        </w:rPr>
        <w:t xml:space="preserve"> Finance</w:t>
      </w:r>
    </w:p>
    <w:p w:rsidR="00751AA7" w:rsidRDefault="00751AA7" w:rsidP="002B302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Director, </w:t>
      </w:r>
      <w:r w:rsidRPr="00751AA7">
        <w:rPr>
          <w:rFonts w:asciiTheme="minorHAnsi" w:hAnsiTheme="minorHAnsi"/>
        </w:rPr>
        <w:t>Research, Innovation, and Translation</w:t>
      </w:r>
    </w:p>
    <w:p w:rsidR="00751AA7" w:rsidRDefault="00751AA7" w:rsidP="002B302E">
      <w:pPr>
        <w:rPr>
          <w:rFonts w:asciiTheme="minorHAnsi" w:hAnsiTheme="minorHAnsi"/>
        </w:rPr>
      </w:pPr>
      <w:r>
        <w:rPr>
          <w:rFonts w:asciiTheme="minorHAnsi" w:hAnsiTheme="minorHAnsi"/>
        </w:rPr>
        <w:t>Director, Scientific and Academic Affairs</w:t>
      </w:r>
    </w:p>
    <w:p w:rsidR="00A26779" w:rsidRDefault="00A26779" w:rsidP="002B302E">
      <w:pPr>
        <w:rPr>
          <w:rFonts w:asciiTheme="minorHAnsi" w:hAnsiTheme="minorHAnsi"/>
        </w:rPr>
      </w:pPr>
      <w:r>
        <w:rPr>
          <w:rFonts w:asciiTheme="minorHAnsi" w:hAnsiTheme="minorHAnsi"/>
        </w:rPr>
        <w:t>Associate Director, Scientific and Academic Affairs</w:t>
      </w:r>
    </w:p>
    <w:p w:rsidR="002B302E" w:rsidRDefault="002B302E" w:rsidP="002B302E">
      <w:pPr>
        <w:rPr>
          <w:rFonts w:asciiTheme="minorHAnsi" w:hAnsiTheme="minorHAnsi"/>
        </w:rPr>
      </w:pPr>
    </w:p>
    <w:p w:rsidR="0024646A" w:rsidRPr="0024646A" w:rsidRDefault="0024646A" w:rsidP="0024646A">
      <w:pPr>
        <w:rPr>
          <w:rFonts w:asciiTheme="minorHAnsi" w:hAnsiTheme="minorHAnsi"/>
          <w:lang w:val="en-CA"/>
        </w:rPr>
      </w:pPr>
      <w:r>
        <w:rPr>
          <w:rFonts w:asciiTheme="minorHAnsi" w:hAnsiTheme="minorHAnsi"/>
        </w:rPr>
        <w:t xml:space="preserve">In accordance with the CRCEF </w:t>
      </w:r>
      <w:r w:rsidRPr="0024646A">
        <w:rPr>
          <w:rFonts w:asciiTheme="minorHAnsi" w:hAnsiTheme="minorHAnsi"/>
          <w:b/>
          <w:bCs/>
          <w:lang w:val="en-CA"/>
        </w:rPr>
        <w:t>Public accountability, transparency, and equity, diversity and inclusion</w:t>
      </w:r>
      <w:r>
        <w:rPr>
          <w:rFonts w:asciiTheme="minorHAnsi" w:hAnsiTheme="minorHAnsi"/>
          <w:b/>
          <w:bCs/>
          <w:lang w:val="en-CA"/>
        </w:rPr>
        <w:t xml:space="preserve"> </w:t>
      </w:r>
      <w:r w:rsidRPr="002656BF">
        <w:rPr>
          <w:rFonts w:asciiTheme="minorHAnsi" w:hAnsiTheme="minorHAnsi"/>
          <w:bCs/>
          <w:lang w:val="en-CA"/>
        </w:rPr>
        <w:t>t</w:t>
      </w:r>
      <w:r>
        <w:rPr>
          <w:rFonts w:asciiTheme="minorHAnsi" w:hAnsiTheme="minorHAnsi"/>
        </w:rPr>
        <w:t>h</w:t>
      </w:r>
      <w:r w:rsidR="00A26779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committee, which is </w:t>
      </w:r>
      <w:r w:rsidRPr="0024646A">
        <w:rPr>
          <w:rFonts w:asciiTheme="minorHAnsi" w:hAnsiTheme="minorHAnsi"/>
          <w:lang w:val="en-CA"/>
        </w:rPr>
        <w:t>responsible for making decisions on how the funds will be used</w:t>
      </w:r>
      <w:r w:rsidR="00A26779">
        <w:rPr>
          <w:rFonts w:asciiTheme="minorHAnsi" w:hAnsiTheme="minorHAnsi"/>
          <w:lang w:val="en-CA"/>
        </w:rPr>
        <w:t>,</w:t>
      </w:r>
      <w:r>
        <w:rPr>
          <w:rFonts w:asciiTheme="minorHAnsi" w:hAnsiTheme="minorHAnsi"/>
        </w:rPr>
        <w:t xml:space="preserve"> is made up of </w:t>
      </w:r>
      <w:r w:rsidRPr="0024646A">
        <w:rPr>
          <w:rFonts w:asciiTheme="minorHAnsi" w:hAnsiTheme="minorHAnsi"/>
          <w:lang w:val="en-CA"/>
        </w:rPr>
        <w:t xml:space="preserve">individuals </w:t>
      </w:r>
      <w:r>
        <w:rPr>
          <w:rFonts w:asciiTheme="minorHAnsi" w:hAnsiTheme="minorHAnsi"/>
          <w:lang w:val="en-CA"/>
        </w:rPr>
        <w:t xml:space="preserve">who are </w:t>
      </w:r>
      <w:r w:rsidRPr="0024646A">
        <w:rPr>
          <w:rFonts w:asciiTheme="minorHAnsi" w:hAnsiTheme="minorHAnsi"/>
          <w:lang w:val="en-CA"/>
        </w:rPr>
        <w:t xml:space="preserve">normally part of the </w:t>
      </w:r>
      <w:r>
        <w:rPr>
          <w:rFonts w:asciiTheme="minorHAnsi" w:hAnsiTheme="minorHAnsi"/>
          <w:lang w:val="en-CA"/>
        </w:rPr>
        <w:t>Institution’s</w:t>
      </w:r>
      <w:r w:rsidR="00A26779">
        <w:rPr>
          <w:rFonts w:asciiTheme="minorHAnsi" w:hAnsiTheme="minorHAnsi"/>
          <w:lang w:val="en-CA"/>
        </w:rPr>
        <w:t xml:space="preserve"> governance structure</w:t>
      </w:r>
      <w:r w:rsidRPr="0024646A">
        <w:rPr>
          <w:rFonts w:asciiTheme="minorHAnsi" w:hAnsiTheme="minorHAnsi"/>
          <w:lang w:val="en-CA"/>
        </w:rPr>
        <w:t>.</w:t>
      </w:r>
      <w:r>
        <w:rPr>
          <w:rFonts w:asciiTheme="minorHAnsi" w:hAnsiTheme="minorHAnsi"/>
          <w:lang w:val="en-CA"/>
        </w:rPr>
        <w:t xml:space="preserve">  The committee has </w:t>
      </w:r>
      <w:r w:rsidRPr="0024646A">
        <w:rPr>
          <w:rFonts w:asciiTheme="minorHAnsi" w:hAnsiTheme="minorHAnsi"/>
          <w:lang w:val="en-CA"/>
        </w:rPr>
        <w:t xml:space="preserve">representation from individuals from equity-seeking groups, </w:t>
      </w:r>
      <w:r>
        <w:rPr>
          <w:rFonts w:asciiTheme="minorHAnsi" w:hAnsiTheme="minorHAnsi"/>
          <w:lang w:val="en-CA"/>
        </w:rPr>
        <w:t>such as</w:t>
      </w:r>
      <w:r w:rsidRPr="0024646A">
        <w:rPr>
          <w:rFonts w:asciiTheme="minorHAnsi" w:hAnsiTheme="minorHAnsi"/>
          <w:lang w:val="en-CA"/>
        </w:rPr>
        <w:t xml:space="preserve"> women, racialized minorities, Indigenous peoples, persons with disabilities and persons from LGBTQ2+ communities.</w:t>
      </w:r>
      <w:r>
        <w:rPr>
          <w:rFonts w:asciiTheme="minorHAnsi" w:hAnsiTheme="minorHAnsi"/>
          <w:lang w:val="en-CA"/>
        </w:rPr>
        <w:t xml:space="preserve">  All of the committee members </w:t>
      </w:r>
      <w:r w:rsidRPr="0024646A">
        <w:rPr>
          <w:rFonts w:asciiTheme="minorHAnsi" w:hAnsiTheme="minorHAnsi"/>
          <w:lang w:val="en-CA"/>
        </w:rPr>
        <w:t>have received unconscious bias training.</w:t>
      </w:r>
    </w:p>
    <w:p w:rsidR="0024646A" w:rsidRDefault="0024646A" w:rsidP="002B302E">
      <w:pPr>
        <w:rPr>
          <w:rFonts w:asciiTheme="minorHAnsi" w:hAnsiTheme="minorHAnsi"/>
        </w:rPr>
      </w:pPr>
    </w:p>
    <w:p w:rsidR="002B302E" w:rsidRPr="00094181" w:rsidRDefault="002B302E" w:rsidP="002B302E">
      <w:pPr>
        <w:rPr>
          <w:rFonts w:asciiTheme="minorHAnsi" w:hAnsiTheme="minorHAnsi"/>
          <w:b/>
          <w:caps/>
        </w:rPr>
      </w:pPr>
      <w:r w:rsidRPr="00094181">
        <w:rPr>
          <w:rFonts w:asciiTheme="minorHAnsi" w:hAnsiTheme="minorHAnsi"/>
          <w:b/>
          <w:caps/>
        </w:rPr>
        <w:t>Membership Term</w:t>
      </w:r>
      <w:r w:rsidR="00094181">
        <w:rPr>
          <w:rFonts w:asciiTheme="minorHAnsi" w:hAnsiTheme="minorHAnsi"/>
          <w:b/>
          <w:caps/>
        </w:rPr>
        <w:t>:</w:t>
      </w:r>
    </w:p>
    <w:p w:rsidR="008B1A69" w:rsidRDefault="008B1A69" w:rsidP="002B302E">
      <w:pPr>
        <w:rPr>
          <w:rFonts w:asciiTheme="minorHAnsi" w:hAnsiTheme="minorHAnsi"/>
        </w:rPr>
      </w:pPr>
    </w:p>
    <w:p w:rsidR="002B302E" w:rsidRDefault="00A26779" w:rsidP="002B302E">
      <w:pPr>
        <w:rPr>
          <w:rFonts w:asciiTheme="minorHAnsi" w:hAnsiTheme="minorHAnsi"/>
        </w:rPr>
      </w:pPr>
      <w:r>
        <w:rPr>
          <w:rFonts w:asciiTheme="minorHAnsi" w:hAnsiTheme="minorHAnsi"/>
        </w:rPr>
        <w:t>November</w:t>
      </w:r>
      <w:r w:rsidR="0024646A">
        <w:rPr>
          <w:rFonts w:asciiTheme="minorHAnsi" w:hAnsiTheme="minorHAnsi"/>
        </w:rPr>
        <w:t xml:space="preserve"> 2020</w:t>
      </w:r>
      <w:r w:rsidR="00751AA7">
        <w:rPr>
          <w:rFonts w:asciiTheme="minorHAnsi" w:hAnsiTheme="minorHAnsi"/>
        </w:rPr>
        <w:t xml:space="preserve"> to March 31, 2021 </w:t>
      </w:r>
    </w:p>
    <w:p w:rsidR="00751AA7" w:rsidRPr="002B302E" w:rsidRDefault="00751AA7" w:rsidP="002B302E">
      <w:pPr>
        <w:rPr>
          <w:rFonts w:asciiTheme="minorHAnsi" w:hAnsiTheme="minorHAnsi"/>
        </w:rPr>
      </w:pPr>
    </w:p>
    <w:p w:rsidR="00824E37" w:rsidRPr="00F84D03" w:rsidRDefault="002B5E7C">
      <w:pPr>
        <w:pStyle w:val="Heading1"/>
        <w:rPr>
          <w:rFonts w:asciiTheme="minorHAnsi" w:hAnsiTheme="minorHAnsi"/>
          <w:szCs w:val="24"/>
        </w:rPr>
      </w:pPr>
      <w:r w:rsidRPr="00F84D03">
        <w:rPr>
          <w:rFonts w:asciiTheme="minorHAnsi" w:hAnsiTheme="minorHAnsi"/>
          <w:szCs w:val="24"/>
        </w:rPr>
        <w:t>FREQUENCY OF MEETINGS</w:t>
      </w:r>
      <w:r w:rsidR="00944CF9">
        <w:rPr>
          <w:rFonts w:asciiTheme="minorHAnsi" w:hAnsiTheme="minorHAnsi"/>
          <w:szCs w:val="24"/>
        </w:rPr>
        <w:t>:</w:t>
      </w:r>
    </w:p>
    <w:p w:rsidR="008B1A69" w:rsidRDefault="008B1A69">
      <w:pPr>
        <w:rPr>
          <w:rFonts w:asciiTheme="minorHAnsi" w:hAnsiTheme="minorHAnsi"/>
          <w:szCs w:val="24"/>
        </w:rPr>
      </w:pPr>
    </w:p>
    <w:p w:rsidR="002B302E" w:rsidRDefault="00751AA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With sufficient</w:t>
      </w:r>
      <w:r w:rsidR="00800A51">
        <w:rPr>
          <w:rFonts w:asciiTheme="minorHAnsi" w:hAnsiTheme="minorHAnsi"/>
          <w:szCs w:val="24"/>
        </w:rPr>
        <w:t xml:space="preserve"> frequency</w:t>
      </w:r>
      <w:r>
        <w:rPr>
          <w:rFonts w:asciiTheme="minorHAnsi" w:hAnsiTheme="minorHAnsi"/>
          <w:szCs w:val="24"/>
        </w:rPr>
        <w:t xml:space="preserve"> to achieve the outcome of the distribution of Stage 3</w:t>
      </w:r>
      <w:r w:rsidR="00A26779">
        <w:rPr>
          <w:rFonts w:asciiTheme="minorHAnsi" w:hAnsiTheme="minorHAnsi"/>
          <w:szCs w:val="24"/>
        </w:rPr>
        <w:t xml:space="preserve"> funding </w:t>
      </w:r>
      <w:r w:rsidR="00800A51">
        <w:rPr>
          <w:rFonts w:asciiTheme="minorHAnsi" w:hAnsiTheme="minorHAnsi"/>
          <w:szCs w:val="24"/>
        </w:rPr>
        <w:t xml:space="preserve">and </w:t>
      </w:r>
      <w:r w:rsidR="00A26779">
        <w:rPr>
          <w:rFonts w:asciiTheme="minorHAnsi" w:hAnsiTheme="minorHAnsi"/>
          <w:szCs w:val="24"/>
        </w:rPr>
        <w:t xml:space="preserve">the </w:t>
      </w:r>
      <w:r w:rsidR="00800A51">
        <w:rPr>
          <w:rFonts w:asciiTheme="minorHAnsi" w:hAnsiTheme="minorHAnsi"/>
          <w:szCs w:val="24"/>
        </w:rPr>
        <w:t xml:space="preserve">allocation of Stage 4 </w:t>
      </w:r>
      <w:r>
        <w:rPr>
          <w:rFonts w:asciiTheme="minorHAnsi" w:hAnsiTheme="minorHAnsi"/>
          <w:szCs w:val="24"/>
        </w:rPr>
        <w:t>funding</w:t>
      </w:r>
    </w:p>
    <w:p w:rsidR="002B302E" w:rsidRDefault="002B302E">
      <w:pPr>
        <w:rPr>
          <w:rFonts w:asciiTheme="minorHAnsi" w:hAnsiTheme="minorHAnsi"/>
          <w:szCs w:val="24"/>
        </w:rPr>
      </w:pPr>
    </w:p>
    <w:p w:rsidR="008B1A69" w:rsidRDefault="008B1A69">
      <w:pPr>
        <w:rPr>
          <w:rFonts w:asciiTheme="minorHAnsi" w:hAnsiTheme="minorHAnsi"/>
          <w:szCs w:val="24"/>
        </w:rPr>
      </w:pPr>
    </w:p>
    <w:p w:rsidR="008B1A69" w:rsidRDefault="008B1A69">
      <w:pPr>
        <w:rPr>
          <w:rFonts w:asciiTheme="minorHAnsi" w:hAnsiTheme="minorHAnsi"/>
          <w:szCs w:val="24"/>
        </w:rPr>
      </w:pPr>
    </w:p>
    <w:p w:rsidR="008B1A69" w:rsidRDefault="008B1A69">
      <w:pPr>
        <w:rPr>
          <w:rFonts w:asciiTheme="minorHAnsi" w:hAnsiTheme="minorHAnsi"/>
          <w:szCs w:val="24"/>
        </w:rPr>
      </w:pPr>
    </w:p>
    <w:p w:rsidR="008B1A69" w:rsidRDefault="008B1A69">
      <w:pPr>
        <w:rPr>
          <w:rFonts w:asciiTheme="minorHAnsi" w:hAnsiTheme="minorHAnsi"/>
          <w:szCs w:val="24"/>
        </w:rPr>
      </w:pPr>
    </w:p>
    <w:sectPr w:rsidR="008B1A69" w:rsidSect="00E87834">
      <w:headerReference w:type="even" r:id="rId10"/>
      <w:headerReference w:type="default" r:id="rId11"/>
      <w:pgSz w:w="12240" w:h="15840"/>
      <w:pgMar w:top="720" w:right="1080" w:bottom="72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E0" w:rsidRDefault="006277E0">
      <w:r>
        <w:separator/>
      </w:r>
    </w:p>
  </w:endnote>
  <w:endnote w:type="continuationSeparator" w:id="0">
    <w:p w:rsidR="006277E0" w:rsidRDefault="0062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E0" w:rsidRDefault="006277E0">
      <w:r>
        <w:separator/>
      </w:r>
    </w:p>
  </w:footnote>
  <w:footnote w:type="continuationSeparator" w:id="0">
    <w:p w:rsidR="006277E0" w:rsidRDefault="00627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E0" w:rsidRDefault="006277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77E0" w:rsidRDefault="006277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E0" w:rsidRDefault="006277E0">
    <w:pPr>
      <w:pStyle w:val="Header"/>
    </w:pPr>
    <w:r>
      <w:rPr>
        <w:noProof/>
        <w:lang w:val="en-CA" w:eastAsia="en-CA"/>
      </w:rPr>
      <w:drawing>
        <wp:inline distT="0" distB="0" distL="0" distR="0" wp14:anchorId="50E1BE77" wp14:editId="7F54B870">
          <wp:extent cx="1371600" cy="543560"/>
          <wp:effectExtent l="0" t="0" r="0" b="8890"/>
          <wp:docPr id="1" name="Picture 3" descr="Description: http://intranet3/BaycrestWork/Tools_and_Resources/Baycrest_Branding/images/COLOR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ttp://intranet3/BaycrestWork/Tools_and_Resources/Baycrest_Branding/images/COLOR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77E0" w:rsidRDefault="00627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479"/>
    <w:multiLevelType w:val="hybridMultilevel"/>
    <w:tmpl w:val="3F76E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964"/>
    <w:multiLevelType w:val="hybridMultilevel"/>
    <w:tmpl w:val="8B9E98A0"/>
    <w:lvl w:ilvl="0" w:tplc="B80EA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1806"/>
    <w:multiLevelType w:val="hybridMultilevel"/>
    <w:tmpl w:val="C17E98BE"/>
    <w:lvl w:ilvl="0" w:tplc="B80EA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93F"/>
    <w:multiLevelType w:val="hybridMultilevel"/>
    <w:tmpl w:val="F62460D4"/>
    <w:lvl w:ilvl="0" w:tplc="031235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2513C"/>
    <w:multiLevelType w:val="hybridMultilevel"/>
    <w:tmpl w:val="20F605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6F68C1"/>
    <w:multiLevelType w:val="singleLevel"/>
    <w:tmpl w:val="10D6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8A547EE"/>
    <w:multiLevelType w:val="singleLevel"/>
    <w:tmpl w:val="95DA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93D2579"/>
    <w:multiLevelType w:val="multilevel"/>
    <w:tmpl w:val="B2CC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7C"/>
    <w:rsid w:val="00074ACE"/>
    <w:rsid w:val="00094181"/>
    <w:rsid w:val="000A4F95"/>
    <w:rsid w:val="000B69DC"/>
    <w:rsid w:val="00126BAF"/>
    <w:rsid w:val="00135E6D"/>
    <w:rsid w:val="00140A2E"/>
    <w:rsid w:val="001810AA"/>
    <w:rsid w:val="00245B80"/>
    <w:rsid w:val="0024646A"/>
    <w:rsid w:val="002656BF"/>
    <w:rsid w:val="002B302E"/>
    <w:rsid w:val="002B5E7C"/>
    <w:rsid w:val="002C15DC"/>
    <w:rsid w:val="002E4CBF"/>
    <w:rsid w:val="0034263B"/>
    <w:rsid w:val="003A1275"/>
    <w:rsid w:val="003D2E7B"/>
    <w:rsid w:val="00406BEC"/>
    <w:rsid w:val="0042280D"/>
    <w:rsid w:val="00495585"/>
    <w:rsid w:val="004B54E0"/>
    <w:rsid w:val="004E508A"/>
    <w:rsid w:val="00552D0B"/>
    <w:rsid w:val="005C1125"/>
    <w:rsid w:val="005F5F3D"/>
    <w:rsid w:val="006277E0"/>
    <w:rsid w:val="006A3970"/>
    <w:rsid w:val="00702E54"/>
    <w:rsid w:val="00751AA7"/>
    <w:rsid w:val="00755DE3"/>
    <w:rsid w:val="007B388D"/>
    <w:rsid w:val="00800A51"/>
    <w:rsid w:val="00824E37"/>
    <w:rsid w:val="00830564"/>
    <w:rsid w:val="00843445"/>
    <w:rsid w:val="008572E0"/>
    <w:rsid w:val="00880A7C"/>
    <w:rsid w:val="008B1A69"/>
    <w:rsid w:val="008C0FB5"/>
    <w:rsid w:val="008D446B"/>
    <w:rsid w:val="008F681A"/>
    <w:rsid w:val="00930BE9"/>
    <w:rsid w:val="00943F21"/>
    <w:rsid w:val="00944CF9"/>
    <w:rsid w:val="00982A9B"/>
    <w:rsid w:val="00987DBF"/>
    <w:rsid w:val="009A0BB3"/>
    <w:rsid w:val="009B2312"/>
    <w:rsid w:val="00A26779"/>
    <w:rsid w:val="00B102A8"/>
    <w:rsid w:val="00B67F23"/>
    <w:rsid w:val="00BD228C"/>
    <w:rsid w:val="00BD5592"/>
    <w:rsid w:val="00C92D34"/>
    <w:rsid w:val="00C966C5"/>
    <w:rsid w:val="00CA6FC3"/>
    <w:rsid w:val="00CB2F78"/>
    <w:rsid w:val="00CF55E3"/>
    <w:rsid w:val="00D04B2A"/>
    <w:rsid w:val="00D54F69"/>
    <w:rsid w:val="00D9590C"/>
    <w:rsid w:val="00DA7244"/>
    <w:rsid w:val="00DC7FAC"/>
    <w:rsid w:val="00DD4749"/>
    <w:rsid w:val="00E52A02"/>
    <w:rsid w:val="00E56D7D"/>
    <w:rsid w:val="00E6586C"/>
    <w:rsid w:val="00E65C26"/>
    <w:rsid w:val="00E87834"/>
    <w:rsid w:val="00EA7A26"/>
    <w:rsid w:val="00EE1429"/>
    <w:rsid w:val="00F84D03"/>
    <w:rsid w:val="00F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6CA514D"/>
  <w15:docId w15:val="{951C5B1C-5F51-4388-B1E3-86EC8248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mallCaps/>
    </w:rPr>
  </w:style>
  <w:style w:type="character" w:customStyle="1" w:styleId="HeaderChar">
    <w:name w:val="Header Char"/>
    <w:basedOn w:val="DefaultParagraphFont"/>
    <w:link w:val="Header"/>
    <w:uiPriority w:val="99"/>
    <w:rsid w:val="00EA7A2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26"/>
    <w:rPr>
      <w:rFonts w:ascii="Tahoma" w:hAnsi="Tahoma" w:cs="Tahoma"/>
      <w:sz w:val="16"/>
      <w:szCs w:val="16"/>
    </w:rPr>
  </w:style>
  <w:style w:type="paragraph" w:styleId="ListParagraph">
    <w:name w:val="List Paragraph"/>
    <w:aliases w:val="Table Paragraph,Dot pt,Liste 1,List Paragraph1,Numbered list,Recommendation,List Paragraph11,L,List Paragraph2,CV text,Table text,F5 List Paragraph,List Paragraph111,Medium Grid 1 - Accent 21,Numbered Paragraph,Bullet text,Bullet 1,3"/>
    <w:basedOn w:val="Normal"/>
    <w:link w:val="ListParagraphChar"/>
    <w:uiPriority w:val="34"/>
    <w:qFormat/>
    <w:rsid w:val="0049558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51AA7"/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ListParagraphChar">
    <w:name w:val="List Paragraph Char"/>
    <w:aliases w:val="Table Paragraph Char,Dot pt Char,Liste 1 Char,List Paragraph1 Char,Numbered list Char,Recommendation Char,List Paragraph11 Char,L Char,List Paragraph2 Char,CV text Char,Table text Char,F5 List Paragraph Char,List Paragraph111 Char"/>
    <w:basedOn w:val="DefaultParagraphFont"/>
    <w:link w:val="ListParagraph"/>
    <w:uiPriority w:val="34"/>
    <w:locked/>
    <w:rsid w:val="00751AA7"/>
    <w:rPr>
      <w:sz w:val="24"/>
    </w:rPr>
  </w:style>
  <w:style w:type="character" w:styleId="Hyperlink">
    <w:name w:val="Hyperlink"/>
    <w:basedOn w:val="DefaultParagraphFont"/>
    <w:uiPriority w:val="99"/>
    <w:unhideWhenUsed/>
    <w:rsid w:val="00CA6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cres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shrc-crsh.gc.ca/funding-financement/crcef-fucrc/faq/ramp-up_costs-couts_de_reprise-eng.aspx?wbdisable=tru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JL-Operations\1-Human%20Resources\Recruitment\Terms%20of%20Reference%20Search%20Committ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625A-962D-4626-9DC5-367BC48B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Terms of Reference Search Committee</Template>
  <TotalTime>91</TotalTime>
  <Pages>2</Pages>
  <Words>622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BAYCREST CENTRE FOR GERIATRIC CARE</vt:lpstr>
    </vt:vector>
  </TitlesOfParts>
  <Company>ROTMAN RESEARCH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BAYCREST CENTRE FOR GERIATRIC CARE</dc:title>
  <dc:creator>Lazarus, Jean (2190)</dc:creator>
  <cp:lastModifiedBy>Lazarus, Jean (2190)</cp:lastModifiedBy>
  <cp:revision>16</cp:revision>
  <cp:lastPrinted>2020-10-25T19:03:00Z</cp:lastPrinted>
  <dcterms:created xsi:type="dcterms:W3CDTF">2020-10-12T17:05:00Z</dcterms:created>
  <dcterms:modified xsi:type="dcterms:W3CDTF">2020-11-06T13:59:00Z</dcterms:modified>
</cp:coreProperties>
</file>